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96" w:rsidRPr="00BC172D" w:rsidRDefault="00D37896" w:rsidP="00D37896">
      <w:pPr>
        <w:widowControl/>
        <w:spacing w:line="288" w:lineRule="auto"/>
        <w:jc w:val="both"/>
        <w:rPr>
          <w:sz w:val="24"/>
        </w:rPr>
      </w:pPr>
      <w:bookmarkStart w:id="0" w:name="_GoBack"/>
      <w:bookmarkEnd w:id="0"/>
      <w:r w:rsidRPr="00BC172D">
        <w:rPr>
          <w:sz w:val="24"/>
        </w:rPr>
        <w:t xml:space="preserve">Skatteministeriet </w:t>
      </w:r>
      <w:r w:rsidRPr="00BC172D">
        <w:rPr>
          <w:sz w:val="24"/>
        </w:rPr>
        <w:fldChar w:fldCharType="begin"/>
      </w:r>
      <w:r w:rsidRPr="00BC172D">
        <w:rPr>
          <w:sz w:val="24"/>
        </w:rPr>
        <w:instrText>ADVANCE \r255</w:instrText>
      </w:r>
      <w:r w:rsidRPr="00BC172D">
        <w:rPr>
          <w:sz w:val="24"/>
        </w:rPr>
        <w:fldChar w:fldCharType="end"/>
      </w:r>
      <w:r w:rsidRPr="00BC172D">
        <w:rPr>
          <w:sz w:val="24"/>
        </w:rPr>
        <w:t xml:space="preserve">J. nr. </w:t>
      </w:r>
      <w:r w:rsidR="00BC777C" w:rsidRPr="00BC777C">
        <w:rPr>
          <w:sz w:val="24"/>
        </w:rPr>
        <w:t>14-</w:t>
      </w:r>
      <w:proofErr w:type="gramStart"/>
      <w:r w:rsidR="00BC777C" w:rsidRPr="00BC777C">
        <w:rPr>
          <w:sz w:val="24"/>
        </w:rPr>
        <w:t>3331457</w:t>
      </w:r>
      <w:proofErr w:type="gramEnd"/>
    </w:p>
    <w:p w:rsidR="00D37896" w:rsidRPr="00BC172D" w:rsidRDefault="00D37896" w:rsidP="00D37896">
      <w:pPr>
        <w:widowControl/>
        <w:spacing w:line="288" w:lineRule="auto"/>
        <w:rPr>
          <w:sz w:val="24"/>
        </w:rPr>
      </w:pPr>
      <w:r w:rsidRPr="00BC172D">
        <w:rPr>
          <w:sz w:val="24"/>
        </w:rPr>
        <w:t>Udkast (</w:t>
      </w:r>
      <w:r w:rsidR="00CF5BF0">
        <w:rPr>
          <w:sz w:val="24"/>
        </w:rPr>
        <w:t>1</w:t>
      </w:r>
      <w:r w:rsidRPr="00BC172D">
        <w:rPr>
          <w:sz w:val="24"/>
        </w:rPr>
        <w:t>)</w:t>
      </w:r>
    </w:p>
    <w:p w:rsidR="00D37896" w:rsidRPr="00BC172D" w:rsidRDefault="00D37896" w:rsidP="00D37896">
      <w:pPr>
        <w:widowControl/>
        <w:spacing w:line="288" w:lineRule="auto"/>
        <w:rPr>
          <w:sz w:val="24"/>
        </w:rPr>
      </w:pPr>
    </w:p>
    <w:p w:rsidR="00D37896" w:rsidRPr="00BC172D" w:rsidRDefault="00D37896" w:rsidP="00D37896">
      <w:pPr>
        <w:widowControl/>
        <w:spacing w:line="288" w:lineRule="auto"/>
        <w:jc w:val="both"/>
        <w:rPr>
          <w:sz w:val="24"/>
        </w:rPr>
      </w:pPr>
    </w:p>
    <w:p w:rsidR="00D37896" w:rsidRPr="00BC172D" w:rsidRDefault="00D37896" w:rsidP="00D37896">
      <w:pPr>
        <w:widowControl/>
        <w:spacing w:line="288" w:lineRule="auto"/>
        <w:jc w:val="both"/>
        <w:rPr>
          <w:sz w:val="24"/>
        </w:rPr>
      </w:pPr>
    </w:p>
    <w:p w:rsidR="00D37896" w:rsidRDefault="00D37896" w:rsidP="00D37896">
      <w:pPr>
        <w:widowControl/>
        <w:spacing w:line="288" w:lineRule="auto"/>
        <w:jc w:val="both"/>
        <w:rPr>
          <w:sz w:val="24"/>
        </w:rPr>
      </w:pPr>
    </w:p>
    <w:p w:rsidR="00D37896" w:rsidRPr="00BC172D" w:rsidRDefault="00D37896" w:rsidP="00D37896">
      <w:pPr>
        <w:widowControl/>
        <w:spacing w:line="288" w:lineRule="auto"/>
        <w:jc w:val="both"/>
        <w:rPr>
          <w:sz w:val="24"/>
        </w:rPr>
      </w:pPr>
    </w:p>
    <w:p w:rsidR="00D37896" w:rsidRPr="00BC172D" w:rsidRDefault="00D37896" w:rsidP="00D37896">
      <w:pPr>
        <w:widowControl/>
        <w:spacing w:line="288" w:lineRule="auto"/>
        <w:jc w:val="both"/>
        <w:rPr>
          <w:sz w:val="24"/>
        </w:rPr>
      </w:pPr>
    </w:p>
    <w:p w:rsidR="00D37896" w:rsidRPr="00BC172D" w:rsidRDefault="00D37896" w:rsidP="00D37896">
      <w:pPr>
        <w:jc w:val="center"/>
        <w:rPr>
          <w:b/>
          <w:bCs/>
          <w:sz w:val="28"/>
        </w:rPr>
      </w:pPr>
      <w:r w:rsidRPr="00BC172D">
        <w:rPr>
          <w:b/>
          <w:bCs/>
          <w:sz w:val="28"/>
        </w:rPr>
        <w:t xml:space="preserve">Forslag </w:t>
      </w:r>
    </w:p>
    <w:p w:rsidR="00D37896" w:rsidRPr="00BC172D" w:rsidRDefault="00D37896" w:rsidP="00D37896">
      <w:pPr>
        <w:jc w:val="center"/>
        <w:rPr>
          <w:sz w:val="24"/>
        </w:rPr>
      </w:pPr>
      <w:r w:rsidRPr="00BC172D">
        <w:rPr>
          <w:sz w:val="24"/>
        </w:rPr>
        <w:t xml:space="preserve">til </w:t>
      </w:r>
    </w:p>
    <w:p w:rsidR="00E40F1F" w:rsidRPr="008677D7" w:rsidRDefault="00E40F1F" w:rsidP="00E40F1F">
      <w:pPr>
        <w:jc w:val="center"/>
        <w:rPr>
          <w:b/>
          <w:sz w:val="28"/>
        </w:rPr>
      </w:pPr>
      <w:r w:rsidRPr="008677D7">
        <w:rPr>
          <w:b/>
          <w:sz w:val="28"/>
        </w:rPr>
        <w:t xml:space="preserve">Lov om ændring af </w:t>
      </w:r>
      <w:r>
        <w:rPr>
          <w:b/>
          <w:sz w:val="28"/>
        </w:rPr>
        <w:t>kildeskatteloven</w:t>
      </w:r>
    </w:p>
    <w:p w:rsidR="00E40F1F" w:rsidRPr="00BC172D" w:rsidRDefault="00E40F1F" w:rsidP="00E40F1F">
      <w:pPr>
        <w:jc w:val="center"/>
        <w:rPr>
          <w:sz w:val="24"/>
        </w:rPr>
      </w:pPr>
      <w:r>
        <w:rPr>
          <w:sz w:val="24"/>
        </w:rPr>
        <w:t>(</w:t>
      </w:r>
      <w:r w:rsidR="007E34F2">
        <w:rPr>
          <w:sz w:val="24"/>
        </w:rPr>
        <w:t>Nedsættelse af vederlagskravet i</w:t>
      </w:r>
      <w:r>
        <w:rPr>
          <w:sz w:val="24"/>
        </w:rPr>
        <w:t xml:space="preserve"> skatteordningen for udenlandske forskere og nøglemedarbejdere)</w:t>
      </w:r>
    </w:p>
    <w:p w:rsidR="00E40F1F" w:rsidRPr="00BC172D" w:rsidRDefault="00E40F1F" w:rsidP="00E40F1F">
      <w:pPr>
        <w:spacing w:line="288" w:lineRule="auto"/>
        <w:jc w:val="center"/>
        <w:rPr>
          <w:sz w:val="24"/>
        </w:rPr>
      </w:pPr>
    </w:p>
    <w:p w:rsidR="00E40F1F" w:rsidRDefault="00E40F1F" w:rsidP="00E40F1F">
      <w:pPr>
        <w:widowControl/>
        <w:spacing w:line="288" w:lineRule="auto"/>
        <w:jc w:val="both"/>
        <w:rPr>
          <w:sz w:val="24"/>
        </w:rPr>
      </w:pPr>
    </w:p>
    <w:p w:rsidR="00E40F1F" w:rsidRPr="00BC172D" w:rsidRDefault="00E40F1F" w:rsidP="00E40F1F">
      <w:pPr>
        <w:ind w:left="3600" w:firstLine="720"/>
        <w:rPr>
          <w:sz w:val="24"/>
        </w:rPr>
      </w:pPr>
      <w:r>
        <w:rPr>
          <w:b/>
          <w:sz w:val="24"/>
        </w:rPr>
        <w:t>§ 1</w:t>
      </w:r>
      <w:r w:rsidRPr="00BC172D">
        <w:rPr>
          <w:sz w:val="24"/>
        </w:rPr>
        <w:t xml:space="preserve"> </w:t>
      </w:r>
    </w:p>
    <w:p w:rsidR="00E40F1F" w:rsidRPr="00BC172D" w:rsidRDefault="00E40F1F" w:rsidP="00E40F1F">
      <w:pPr>
        <w:jc w:val="center"/>
        <w:rPr>
          <w:sz w:val="24"/>
        </w:rPr>
      </w:pPr>
    </w:p>
    <w:p w:rsidR="00E40F1F" w:rsidRDefault="00E40F1F" w:rsidP="00E40F1F">
      <w:pPr>
        <w:spacing w:line="288" w:lineRule="auto"/>
        <w:ind w:firstLine="720"/>
        <w:rPr>
          <w:sz w:val="24"/>
        </w:rPr>
      </w:pPr>
      <w:r>
        <w:rPr>
          <w:rStyle w:val="Fodnotehenvisning"/>
          <w:sz w:val="24"/>
        </w:rPr>
        <w:t>I</w:t>
      </w:r>
      <w:r>
        <w:rPr>
          <w:sz w:val="24"/>
        </w:rPr>
        <w:t xml:space="preserve"> kildeskatteloven, jf. lovbekendtgørelse </w:t>
      </w:r>
      <w:r w:rsidR="007E34F2">
        <w:rPr>
          <w:sz w:val="24"/>
        </w:rPr>
        <w:t xml:space="preserve">nr. 1403 af 7. december 2010, </w:t>
      </w:r>
      <w:r>
        <w:rPr>
          <w:sz w:val="24"/>
        </w:rPr>
        <w:t>som ændret bl.a. ved § 1 i lov nr. 1565 af 21. december 2010, § 5 i lov nr. 792 af 28. juni 2013 og senest ved § 3 i lov nr. 274 af 26. marts 20</w:t>
      </w:r>
      <w:r w:rsidR="00BE05A1">
        <w:rPr>
          <w:sz w:val="24"/>
        </w:rPr>
        <w:t>14, foretages følgende ændring</w:t>
      </w:r>
      <w:r>
        <w:rPr>
          <w:sz w:val="24"/>
        </w:rPr>
        <w:t>:</w:t>
      </w:r>
    </w:p>
    <w:p w:rsidR="00E40F1F" w:rsidRDefault="00E40F1F" w:rsidP="00E40F1F">
      <w:pPr>
        <w:spacing w:line="288" w:lineRule="auto"/>
        <w:rPr>
          <w:sz w:val="24"/>
        </w:rPr>
      </w:pPr>
    </w:p>
    <w:p w:rsidR="001B78AD" w:rsidRDefault="001B78AD" w:rsidP="001B78AD">
      <w:pPr>
        <w:spacing w:line="288" w:lineRule="auto"/>
        <w:rPr>
          <w:sz w:val="24"/>
        </w:rPr>
      </w:pPr>
      <w:r>
        <w:rPr>
          <w:b/>
          <w:sz w:val="24"/>
        </w:rPr>
        <w:t xml:space="preserve">1. </w:t>
      </w:r>
      <w:r w:rsidR="00E40F1F" w:rsidRPr="00333578">
        <w:rPr>
          <w:sz w:val="24"/>
        </w:rPr>
        <w:t>I</w:t>
      </w:r>
      <w:r w:rsidR="00E40F1F" w:rsidRPr="00A8592B">
        <w:rPr>
          <w:i/>
          <w:sz w:val="24"/>
        </w:rPr>
        <w:t xml:space="preserve"> § 48 E, stk. 3, nr. 3,</w:t>
      </w:r>
      <w:r w:rsidR="00E40F1F">
        <w:rPr>
          <w:sz w:val="24"/>
        </w:rPr>
        <w:t xml:space="preserve"> </w:t>
      </w:r>
      <w:r w:rsidR="00BE05A1">
        <w:rPr>
          <w:sz w:val="24"/>
        </w:rPr>
        <w:t>ændres ”69.300 kr.” til: ”59.500 kr.</w:t>
      </w:r>
      <w:r w:rsidR="00E40F1F">
        <w:rPr>
          <w:sz w:val="24"/>
        </w:rPr>
        <w:t>”</w:t>
      </w:r>
    </w:p>
    <w:p w:rsidR="001B78AD" w:rsidRDefault="001B78AD" w:rsidP="00376FD2">
      <w:pPr>
        <w:tabs>
          <w:tab w:val="left" w:pos="360"/>
        </w:tabs>
        <w:spacing w:line="288" w:lineRule="auto"/>
        <w:rPr>
          <w:b/>
          <w:bCs/>
          <w:sz w:val="24"/>
        </w:rPr>
      </w:pPr>
      <w:r>
        <w:rPr>
          <w:b/>
          <w:bCs/>
          <w:sz w:val="24"/>
        </w:rPr>
        <w:tab/>
      </w:r>
    </w:p>
    <w:p w:rsidR="001B78AD" w:rsidRPr="00BC172D" w:rsidRDefault="001B78AD" w:rsidP="00376FD2">
      <w:pPr>
        <w:tabs>
          <w:tab w:val="left" w:pos="360"/>
        </w:tabs>
        <w:spacing w:line="288" w:lineRule="auto"/>
        <w:rPr>
          <w:b/>
          <w:bCs/>
          <w:sz w:val="24"/>
        </w:rPr>
      </w:pPr>
      <w:r>
        <w:rPr>
          <w:b/>
          <w:bCs/>
          <w:sz w:val="24"/>
        </w:rPr>
        <w:tab/>
      </w:r>
      <w:r>
        <w:rPr>
          <w:b/>
          <w:bCs/>
          <w:sz w:val="24"/>
        </w:rPr>
        <w:tab/>
      </w:r>
      <w:r>
        <w:rPr>
          <w:b/>
          <w:bCs/>
          <w:sz w:val="24"/>
        </w:rPr>
        <w:tab/>
      </w:r>
      <w:r>
        <w:rPr>
          <w:b/>
          <w:bCs/>
          <w:sz w:val="24"/>
        </w:rPr>
        <w:tab/>
      </w:r>
      <w:r>
        <w:rPr>
          <w:b/>
          <w:bCs/>
          <w:sz w:val="24"/>
        </w:rPr>
        <w:tab/>
      </w:r>
      <w:r>
        <w:rPr>
          <w:b/>
          <w:bCs/>
          <w:sz w:val="24"/>
        </w:rPr>
        <w:tab/>
      </w:r>
      <w:r w:rsidR="006E18F2">
        <w:rPr>
          <w:b/>
          <w:bCs/>
          <w:sz w:val="24"/>
        </w:rPr>
        <w:tab/>
      </w:r>
      <w:r>
        <w:rPr>
          <w:b/>
          <w:bCs/>
          <w:sz w:val="24"/>
        </w:rPr>
        <w:t>§ 2</w:t>
      </w:r>
    </w:p>
    <w:p w:rsidR="00376FD2" w:rsidRPr="001B78AD" w:rsidRDefault="001B78AD" w:rsidP="00376FD2">
      <w:pPr>
        <w:tabs>
          <w:tab w:val="left" w:pos="360"/>
        </w:tabs>
        <w:spacing w:line="288" w:lineRule="auto"/>
        <w:rPr>
          <w:iCs/>
          <w:sz w:val="24"/>
        </w:rPr>
      </w:pPr>
      <w:r>
        <w:rPr>
          <w:iCs/>
          <w:sz w:val="24"/>
        </w:rPr>
        <w:tab/>
      </w:r>
    </w:p>
    <w:p w:rsidR="001B78AD" w:rsidRDefault="001B78AD" w:rsidP="001B78AD">
      <w:pPr>
        <w:rPr>
          <w:i/>
          <w:iCs/>
          <w:sz w:val="24"/>
        </w:rPr>
      </w:pPr>
    </w:p>
    <w:p w:rsidR="00E40F1F" w:rsidRDefault="00E40F1F" w:rsidP="007E34F2">
      <w:pPr>
        <w:spacing w:line="288" w:lineRule="auto"/>
        <w:rPr>
          <w:iCs/>
          <w:sz w:val="24"/>
        </w:rPr>
      </w:pPr>
      <w:r w:rsidRPr="001B78AD">
        <w:rPr>
          <w:i/>
          <w:iCs/>
          <w:sz w:val="24"/>
        </w:rPr>
        <w:t xml:space="preserve">Stk. 1. </w:t>
      </w:r>
      <w:r>
        <w:rPr>
          <w:iCs/>
          <w:sz w:val="24"/>
        </w:rPr>
        <w:t xml:space="preserve">Loven træder i kraft </w:t>
      </w:r>
      <w:r w:rsidRPr="004E7F0C">
        <w:rPr>
          <w:iCs/>
          <w:sz w:val="24"/>
        </w:rPr>
        <w:t>d</w:t>
      </w:r>
      <w:r w:rsidR="00662CEF" w:rsidRPr="004E7F0C">
        <w:rPr>
          <w:iCs/>
          <w:sz w:val="24"/>
        </w:rPr>
        <w:t xml:space="preserve">en </w:t>
      </w:r>
      <w:r w:rsidR="004E7F0C" w:rsidRPr="004E7F0C">
        <w:rPr>
          <w:iCs/>
          <w:sz w:val="24"/>
        </w:rPr>
        <w:t>1.</w:t>
      </w:r>
      <w:r w:rsidR="00842774">
        <w:rPr>
          <w:iCs/>
          <w:sz w:val="24"/>
        </w:rPr>
        <w:t xml:space="preserve"> </w:t>
      </w:r>
      <w:r w:rsidR="004E7F0C" w:rsidRPr="004E7F0C">
        <w:rPr>
          <w:iCs/>
          <w:sz w:val="24"/>
        </w:rPr>
        <w:t>januar</w:t>
      </w:r>
      <w:r w:rsidR="00662CEF" w:rsidRPr="004E7F0C">
        <w:rPr>
          <w:iCs/>
          <w:sz w:val="24"/>
        </w:rPr>
        <w:t xml:space="preserve"> 201</w:t>
      </w:r>
      <w:r w:rsidR="004E7F0C">
        <w:rPr>
          <w:iCs/>
          <w:sz w:val="24"/>
        </w:rPr>
        <w:t>5</w:t>
      </w:r>
      <w:r w:rsidR="00662CEF">
        <w:rPr>
          <w:iCs/>
          <w:sz w:val="24"/>
        </w:rPr>
        <w:t>.</w:t>
      </w:r>
    </w:p>
    <w:p w:rsidR="00E40F1F" w:rsidRDefault="00E40F1F" w:rsidP="007E34F2">
      <w:pPr>
        <w:spacing w:line="288" w:lineRule="auto"/>
        <w:rPr>
          <w:iCs/>
          <w:sz w:val="24"/>
        </w:rPr>
      </w:pPr>
      <w:r>
        <w:rPr>
          <w:i/>
          <w:iCs/>
          <w:sz w:val="24"/>
        </w:rPr>
        <w:t>Stk. 2.</w:t>
      </w:r>
      <w:r>
        <w:rPr>
          <w:iCs/>
          <w:sz w:val="24"/>
        </w:rPr>
        <w:t xml:space="preserve"> Loven har virkning fra </w:t>
      </w:r>
      <w:r w:rsidR="001A60EA">
        <w:rPr>
          <w:iCs/>
          <w:sz w:val="24"/>
        </w:rPr>
        <w:t xml:space="preserve">og med </w:t>
      </w:r>
      <w:r>
        <w:rPr>
          <w:iCs/>
          <w:sz w:val="24"/>
        </w:rPr>
        <w:t xml:space="preserve">indkomståret 2015. </w:t>
      </w:r>
    </w:p>
    <w:p w:rsidR="00BB690A" w:rsidRDefault="00BB690A" w:rsidP="00BB690A">
      <w:pPr>
        <w:spacing w:line="288" w:lineRule="auto"/>
        <w:rPr>
          <w:iCs/>
          <w:sz w:val="24"/>
        </w:rPr>
      </w:pPr>
      <w:r w:rsidRPr="006766D6">
        <w:rPr>
          <w:i/>
          <w:iCs/>
          <w:sz w:val="24"/>
        </w:rPr>
        <w:t xml:space="preserve">Stk. </w:t>
      </w:r>
      <w:r>
        <w:rPr>
          <w:i/>
          <w:iCs/>
          <w:sz w:val="24"/>
        </w:rPr>
        <w:t>3</w:t>
      </w:r>
      <w:r w:rsidRPr="006766D6">
        <w:rPr>
          <w:i/>
          <w:iCs/>
          <w:sz w:val="24"/>
        </w:rPr>
        <w:t>.</w:t>
      </w:r>
      <w:r w:rsidRPr="006766D6">
        <w:rPr>
          <w:iCs/>
          <w:sz w:val="24"/>
        </w:rPr>
        <w:t xml:space="preserve"> Ved opgørelsen af en kommunes slutskat og kirkeskat for indkomståret 2015 efter § 16 i lov om kommunal indkomstskat korrigeres den opgjorte slutskat for den beregnede virkning af de ændringer i udskrivningsgrundlaget for kommuneskat og kirkeskat for 2015, der følger af </w:t>
      </w:r>
      <w:r>
        <w:rPr>
          <w:iCs/>
          <w:sz w:val="24"/>
        </w:rPr>
        <w:t xml:space="preserve">bestemmelsen </w:t>
      </w:r>
      <w:r w:rsidR="00642D99">
        <w:rPr>
          <w:iCs/>
          <w:sz w:val="24"/>
        </w:rPr>
        <w:t>i kildeskattelovens § 48 E</w:t>
      </w:r>
      <w:r w:rsidR="00642D99" w:rsidRPr="006766D6">
        <w:rPr>
          <w:iCs/>
          <w:sz w:val="24"/>
        </w:rPr>
        <w:t>, s</w:t>
      </w:r>
      <w:r w:rsidR="00642D99">
        <w:rPr>
          <w:iCs/>
          <w:sz w:val="24"/>
        </w:rPr>
        <w:t>tk. 3, nr. 3</w:t>
      </w:r>
      <w:r w:rsidR="00733C9F">
        <w:rPr>
          <w:iCs/>
          <w:sz w:val="24"/>
        </w:rPr>
        <w:t xml:space="preserve">, </w:t>
      </w:r>
      <w:r>
        <w:rPr>
          <w:iCs/>
          <w:sz w:val="24"/>
        </w:rPr>
        <w:t>jf. denne lovs § 1</w:t>
      </w:r>
      <w:r w:rsidR="00333578">
        <w:rPr>
          <w:iCs/>
          <w:sz w:val="24"/>
        </w:rPr>
        <w:t>, nr. 1</w:t>
      </w:r>
      <w:r w:rsidRPr="006766D6">
        <w:rPr>
          <w:iCs/>
          <w:sz w:val="24"/>
        </w:rPr>
        <w:t>.</w:t>
      </w:r>
    </w:p>
    <w:p w:rsidR="00BB690A" w:rsidRDefault="00BB690A" w:rsidP="00BB690A">
      <w:pPr>
        <w:spacing w:line="288" w:lineRule="auto"/>
        <w:rPr>
          <w:i/>
          <w:iCs/>
          <w:sz w:val="28"/>
        </w:rPr>
      </w:pPr>
      <w:r w:rsidRPr="006766D6">
        <w:rPr>
          <w:i/>
          <w:iCs/>
          <w:sz w:val="24"/>
        </w:rPr>
        <w:t xml:space="preserve">Stk. </w:t>
      </w:r>
      <w:r>
        <w:rPr>
          <w:i/>
          <w:iCs/>
          <w:sz w:val="24"/>
        </w:rPr>
        <w:t>4</w:t>
      </w:r>
      <w:r w:rsidRPr="006766D6">
        <w:rPr>
          <w:i/>
          <w:iCs/>
          <w:sz w:val="24"/>
        </w:rPr>
        <w:t>.</w:t>
      </w:r>
      <w:r w:rsidRPr="006766D6">
        <w:rPr>
          <w:iCs/>
          <w:sz w:val="24"/>
        </w:rPr>
        <w:t xml:space="preserve"> Den beregnede korrektion af kommunens slutskat og kirkeskat efter stk. </w:t>
      </w:r>
      <w:r>
        <w:rPr>
          <w:iCs/>
          <w:sz w:val="24"/>
        </w:rPr>
        <w:t>3</w:t>
      </w:r>
      <w:r w:rsidRPr="006766D6">
        <w:rPr>
          <w:iCs/>
          <w:sz w:val="24"/>
        </w:rPr>
        <w:t xml:space="preserve"> fastsættes af økonomi- og indenrigsministeren på grundlag af de oplysninger vedrørende indkomståret 2015, der foreligger pr. 1. maj 2017.</w:t>
      </w:r>
    </w:p>
    <w:p w:rsidR="001B78AD" w:rsidRDefault="001B78AD" w:rsidP="00376FD2">
      <w:pPr>
        <w:jc w:val="center"/>
        <w:rPr>
          <w:i/>
          <w:iCs/>
          <w:sz w:val="28"/>
        </w:rPr>
      </w:pPr>
    </w:p>
    <w:p w:rsidR="00376FD2" w:rsidRPr="00BC172D" w:rsidRDefault="00BA4401" w:rsidP="00376FD2">
      <w:pPr>
        <w:jc w:val="center"/>
        <w:rPr>
          <w:i/>
          <w:iCs/>
          <w:sz w:val="28"/>
        </w:rPr>
      </w:pPr>
      <w:r>
        <w:rPr>
          <w:i/>
          <w:iCs/>
          <w:sz w:val="28"/>
        </w:rPr>
        <w:br w:type="page"/>
      </w:r>
      <w:r w:rsidR="00376FD2" w:rsidRPr="00BC172D">
        <w:rPr>
          <w:i/>
          <w:iCs/>
          <w:sz w:val="28"/>
        </w:rPr>
        <w:lastRenderedPageBreak/>
        <w:t>Bemærkninger til lovforslaget</w:t>
      </w:r>
    </w:p>
    <w:p w:rsidR="00376FD2" w:rsidRPr="00BC172D" w:rsidRDefault="00376FD2" w:rsidP="00376FD2">
      <w:pPr>
        <w:pStyle w:val="Overskrift2"/>
        <w:spacing w:line="240" w:lineRule="auto"/>
        <w:jc w:val="center"/>
        <w:rPr>
          <w:rFonts w:ascii="Times New Roman" w:hAnsi="Times New Roman" w:cs="Times New Roman"/>
          <w:i/>
          <w:sz w:val="24"/>
        </w:rPr>
      </w:pPr>
      <w:bookmarkStart w:id="1" w:name="_Toc210026133"/>
      <w:bookmarkStart w:id="2" w:name="_Toc207684802"/>
      <w:bookmarkStart w:id="3" w:name="_Toc207591971"/>
    </w:p>
    <w:p w:rsidR="00376FD2" w:rsidRPr="00BC172D" w:rsidRDefault="00376FD2" w:rsidP="008906F5">
      <w:pPr>
        <w:pStyle w:val="Overskrift2"/>
        <w:spacing w:line="288" w:lineRule="auto"/>
        <w:jc w:val="center"/>
        <w:rPr>
          <w:rFonts w:ascii="Times New Roman" w:hAnsi="Times New Roman" w:cs="Times New Roman"/>
          <w:i/>
          <w:sz w:val="24"/>
        </w:rPr>
      </w:pPr>
      <w:r w:rsidRPr="00BC172D">
        <w:rPr>
          <w:rFonts w:ascii="Times New Roman" w:hAnsi="Times New Roman" w:cs="Times New Roman"/>
          <w:i/>
          <w:sz w:val="24"/>
        </w:rPr>
        <w:t>Almindelige bemærkninger</w:t>
      </w:r>
      <w:bookmarkEnd w:id="1"/>
      <w:bookmarkEnd w:id="2"/>
      <w:bookmarkEnd w:id="3"/>
    </w:p>
    <w:p w:rsidR="00376FD2" w:rsidRPr="00BC172D" w:rsidRDefault="00376FD2" w:rsidP="008906F5">
      <w:pPr>
        <w:spacing w:line="288" w:lineRule="auto"/>
        <w:jc w:val="center"/>
        <w:rPr>
          <w:i/>
          <w:iCs/>
          <w:sz w:val="24"/>
        </w:rPr>
      </w:pPr>
    </w:p>
    <w:p w:rsidR="00E40F1F" w:rsidRPr="00BC172D" w:rsidRDefault="00E40F1F" w:rsidP="008906F5">
      <w:pPr>
        <w:spacing w:line="288" w:lineRule="auto"/>
        <w:rPr>
          <w:i/>
          <w:iCs/>
          <w:sz w:val="24"/>
        </w:rPr>
      </w:pPr>
      <w:r w:rsidRPr="00BC172D">
        <w:rPr>
          <w:i/>
          <w:iCs/>
          <w:sz w:val="24"/>
        </w:rPr>
        <w:t>1. Indledning</w:t>
      </w:r>
    </w:p>
    <w:p w:rsidR="00A505B3" w:rsidRDefault="00A505B3" w:rsidP="008906F5">
      <w:pPr>
        <w:spacing w:line="288" w:lineRule="auto"/>
        <w:jc w:val="both"/>
        <w:rPr>
          <w:iCs/>
          <w:color w:val="000000"/>
          <w:sz w:val="24"/>
        </w:rPr>
      </w:pPr>
      <w:r>
        <w:rPr>
          <w:iCs/>
          <w:sz w:val="24"/>
        </w:rPr>
        <w:t xml:space="preserve">Regeringen (Socialdemokraterne og Det Radikale Venstre), Venstre, Dansk Folkeparti, Socialistisk Folkeparti, Liberal Alliance og Det Konservative Folkeparti har den 26. juni 2014 indgået </w:t>
      </w:r>
      <w:r w:rsidRPr="00A505B3">
        <w:rPr>
          <w:i/>
          <w:iCs/>
          <w:sz w:val="24"/>
        </w:rPr>
        <w:t xml:space="preserve">Aftale om </w:t>
      </w:r>
      <w:r w:rsidRPr="00A505B3">
        <w:rPr>
          <w:i/>
          <w:iCs/>
          <w:color w:val="000000"/>
          <w:sz w:val="24"/>
        </w:rPr>
        <w:t>en reform af international rekruttering – Lettere adgang til højtkvalificeret arbejdskraft.</w:t>
      </w:r>
      <w:r w:rsidRPr="00BC777C">
        <w:rPr>
          <w:iCs/>
          <w:color w:val="000000"/>
          <w:sz w:val="24"/>
        </w:rPr>
        <w:t xml:space="preserve"> </w:t>
      </w:r>
    </w:p>
    <w:p w:rsidR="00A505B3" w:rsidRDefault="00A505B3" w:rsidP="008906F5">
      <w:pPr>
        <w:spacing w:line="288" w:lineRule="auto"/>
        <w:jc w:val="both"/>
        <w:rPr>
          <w:iCs/>
          <w:color w:val="000000"/>
          <w:sz w:val="24"/>
        </w:rPr>
      </w:pPr>
    </w:p>
    <w:p w:rsidR="007716DB" w:rsidRDefault="007716DB" w:rsidP="008906F5">
      <w:pPr>
        <w:spacing w:line="288" w:lineRule="auto"/>
        <w:jc w:val="both"/>
        <w:rPr>
          <w:iCs/>
          <w:color w:val="000000"/>
          <w:sz w:val="24"/>
        </w:rPr>
      </w:pPr>
      <w:r>
        <w:rPr>
          <w:iCs/>
          <w:color w:val="000000"/>
          <w:sz w:val="24"/>
        </w:rPr>
        <w:t xml:space="preserve">Aftaleparterne er </w:t>
      </w:r>
      <w:r w:rsidR="00B635BD">
        <w:rPr>
          <w:iCs/>
          <w:color w:val="000000"/>
          <w:sz w:val="24"/>
        </w:rPr>
        <w:t xml:space="preserve">bl.a. </w:t>
      </w:r>
      <w:r>
        <w:rPr>
          <w:iCs/>
          <w:color w:val="000000"/>
          <w:sz w:val="24"/>
        </w:rPr>
        <w:t>blevet enige om følgende:</w:t>
      </w:r>
    </w:p>
    <w:p w:rsidR="00DD3D64" w:rsidRDefault="00DD3D64" w:rsidP="008906F5">
      <w:pPr>
        <w:spacing w:line="288" w:lineRule="auto"/>
        <w:jc w:val="both"/>
        <w:rPr>
          <w:iCs/>
          <w:color w:val="000000"/>
          <w:sz w:val="24"/>
        </w:rPr>
      </w:pPr>
    </w:p>
    <w:p w:rsidR="00DD3D64" w:rsidRDefault="00510C9F" w:rsidP="008906F5">
      <w:pPr>
        <w:spacing w:line="288" w:lineRule="auto"/>
        <w:jc w:val="both"/>
        <w:rPr>
          <w:iCs/>
          <w:color w:val="000000"/>
          <w:sz w:val="24"/>
        </w:rPr>
      </w:pPr>
      <w:r>
        <w:rPr>
          <w:iCs/>
          <w:color w:val="000000"/>
          <w:sz w:val="24"/>
        </w:rPr>
        <w:t>”</w:t>
      </w:r>
      <w:r w:rsidRPr="00600AAC">
        <w:rPr>
          <w:i/>
          <w:iCs/>
          <w:color w:val="000000"/>
          <w:sz w:val="24"/>
        </w:rPr>
        <w:t>Lempelse af bruttoskatteordningen for forskere og nøglemedarbejdere</w:t>
      </w:r>
    </w:p>
    <w:p w:rsidR="00510C9F" w:rsidRDefault="00510C9F" w:rsidP="008906F5">
      <w:pPr>
        <w:spacing w:line="288" w:lineRule="auto"/>
        <w:jc w:val="both"/>
        <w:rPr>
          <w:sz w:val="24"/>
        </w:rPr>
      </w:pPr>
      <w:r>
        <w:rPr>
          <w:iCs/>
          <w:color w:val="000000"/>
          <w:sz w:val="24"/>
        </w:rPr>
        <w:t>Danske virksomheder</w:t>
      </w:r>
      <w:r w:rsidRPr="00510C9F">
        <w:rPr>
          <w:sz w:val="24"/>
        </w:rPr>
        <w:t xml:space="preserve"> </w:t>
      </w:r>
      <w:r w:rsidRPr="00C26417">
        <w:rPr>
          <w:sz w:val="24"/>
        </w:rPr>
        <w:t>konkurrerer med virksomheder i udlandet om at tiltrække højtkvalificeret arbejdskraft.</w:t>
      </w:r>
      <w:r w:rsidR="00D846E4">
        <w:rPr>
          <w:sz w:val="24"/>
        </w:rPr>
        <w:t xml:space="preserve"> Højt specialis</w:t>
      </w:r>
      <w:r>
        <w:rPr>
          <w:sz w:val="24"/>
        </w:rPr>
        <w:t xml:space="preserve">eret </w:t>
      </w:r>
      <w:r w:rsidR="00D846E4">
        <w:rPr>
          <w:sz w:val="24"/>
        </w:rPr>
        <w:t>arbejdskraft medvirker til, at danske virksomheder kan udvide deres aktiviteter i Danmark.</w:t>
      </w:r>
    </w:p>
    <w:p w:rsidR="00D846E4" w:rsidRDefault="00D846E4" w:rsidP="008906F5">
      <w:pPr>
        <w:spacing w:line="288" w:lineRule="auto"/>
        <w:jc w:val="both"/>
        <w:rPr>
          <w:sz w:val="24"/>
        </w:rPr>
      </w:pPr>
    </w:p>
    <w:p w:rsidR="00D846E4" w:rsidRDefault="00D846E4" w:rsidP="008906F5">
      <w:pPr>
        <w:spacing w:line="288" w:lineRule="auto"/>
        <w:jc w:val="both"/>
        <w:rPr>
          <w:sz w:val="24"/>
        </w:rPr>
      </w:pPr>
      <w:r>
        <w:rPr>
          <w:sz w:val="24"/>
        </w:rPr>
        <w:t xml:space="preserve">Forskerskatteordningen gør det lettere for danske virksomheder at rekruttere højtkvalificerede udenlandske nøglemedarbejdere og forskere, da ordningen indebærer lempeligere indkomstskatteforhold. Dette gælder også højtkvalificerede danskere, der efter en vis periode ude flytter hjem. Forskerskatteordningen forbedrer dermed danske virksomheders konkurrenceposition. </w:t>
      </w:r>
    </w:p>
    <w:p w:rsidR="00D846E4" w:rsidRDefault="00D846E4" w:rsidP="008906F5">
      <w:pPr>
        <w:spacing w:line="288" w:lineRule="auto"/>
        <w:jc w:val="both"/>
        <w:rPr>
          <w:sz w:val="24"/>
        </w:rPr>
      </w:pPr>
    </w:p>
    <w:p w:rsidR="00D846E4" w:rsidRDefault="00D846E4" w:rsidP="008906F5">
      <w:pPr>
        <w:spacing w:line="288" w:lineRule="auto"/>
        <w:jc w:val="both"/>
        <w:rPr>
          <w:sz w:val="24"/>
        </w:rPr>
      </w:pPr>
      <w:r>
        <w:rPr>
          <w:sz w:val="24"/>
        </w:rPr>
        <w:t xml:space="preserve">Aftalepartierne er på den baggrund enige om at lempe forskerskatteordningen, så det månedlige vederlagskrav nedsættes med 10.000 kr. Dermed nedsættes vederlagskravet for nøglemedarbejdere fra 70.600 kr. månedligt til ca. 60.600 kr. ekskl. </w:t>
      </w:r>
      <w:r w:rsidR="00600AAC">
        <w:rPr>
          <w:sz w:val="24"/>
        </w:rPr>
        <w:t>p</w:t>
      </w:r>
      <w:r>
        <w:rPr>
          <w:sz w:val="24"/>
        </w:rPr>
        <w:t>ensionsbidrag.”</w:t>
      </w:r>
    </w:p>
    <w:p w:rsidR="00A505B3" w:rsidRDefault="00A505B3" w:rsidP="008906F5">
      <w:pPr>
        <w:spacing w:line="288" w:lineRule="auto"/>
        <w:jc w:val="both"/>
        <w:rPr>
          <w:sz w:val="24"/>
        </w:rPr>
      </w:pPr>
    </w:p>
    <w:p w:rsidR="00A505B3" w:rsidRPr="00BC777C" w:rsidRDefault="00A505B3" w:rsidP="008906F5">
      <w:pPr>
        <w:spacing w:line="288" w:lineRule="auto"/>
        <w:jc w:val="both"/>
        <w:rPr>
          <w:iCs/>
          <w:color w:val="000000"/>
          <w:sz w:val="24"/>
        </w:rPr>
      </w:pPr>
      <w:r>
        <w:rPr>
          <w:sz w:val="24"/>
        </w:rPr>
        <w:t xml:space="preserve">Lovforslaget udmønter denne del af aftalen. </w:t>
      </w:r>
    </w:p>
    <w:p w:rsidR="00BC777C" w:rsidRPr="00BC777C" w:rsidRDefault="00BC777C" w:rsidP="008906F5">
      <w:pPr>
        <w:spacing w:line="288" w:lineRule="auto"/>
        <w:jc w:val="both"/>
        <w:rPr>
          <w:iCs/>
          <w:color w:val="000000"/>
          <w:sz w:val="24"/>
        </w:rPr>
      </w:pPr>
    </w:p>
    <w:p w:rsidR="00E40F1F" w:rsidRDefault="00E40F1F" w:rsidP="008906F5">
      <w:pPr>
        <w:spacing w:line="288" w:lineRule="auto"/>
        <w:rPr>
          <w:i/>
          <w:iCs/>
          <w:sz w:val="24"/>
        </w:rPr>
      </w:pPr>
      <w:r w:rsidRPr="00BC172D">
        <w:rPr>
          <w:i/>
          <w:iCs/>
          <w:sz w:val="24"/>
        </w:rPr>
        <w:t xml:space="preserve">2. Lovforslagets formål og baggrund </w:t>
      </w:r>
    </w:p>
    <w:p w:rsidR="00E40F1F" w:rsidRDefault="003137D8" w:rsidP="008906F5">
      <w:pPr>
        <w:spacing w:line="288" w:lineRule="auto"/>
        <w:jc w:val="both"/>
        <w:rPr>
          <w:sz w:val="24"/>
        </w:rPr>
      </w:pPr>
      <w:r>
        <w:rPr>
          <w:sz w:val="24"/>
        </w:rPr>
        <w:t>F</w:t>
      </w:r>
      <w:r w:rsidR="00E40F1F">
        <w:rPr>
          <w:sz w:val="24"/>
        </w:rPr>
        <w:t xml:space="preserve">orslaget har til formål at tiltrække flere personer til vigtige nøglefunktioner i Danmark. </w:t>
      </w:r>
      <w:r w:rsidR="00E40F1F" w:rsidRPr="001338AE">
        <w:rPr>
          <w:sz w:val="24"/>
        </w:rPr>
        <w:t xml:space="preserve">Flere højt kvalificerede </w:t>
      </w:r>
      <w:r w:rsidR="00E40F1F">
        <w:rPr>
          <w:sz w:val="24"/>
        </w:rPr>
        <w:t>nøgle</w:t>
      </w:r>
      <w:r w:rsidR="00E40F1F" w:rsidRPr="001338AE">
        <w:rPr>
          <w:sz w:val="24"/>
        </w:rPr>
        <w:t>medarbejdere vil styrke danske virksomheders konkurrenceposition i en stadigt mere global verden og dermed øge vækstmulighederne i dansk økonomi.</w:t>
      </w:r>
    </w:p>
    <w:p w:rsidR="00E40F1F" w:rsidRDefault="00E40F1F" w:rsidP="008906F5">
      <w:pPr>
        <w:spacing w:line="288" w:lineRule="auto"/>
        <w:jc w:val="both"/>
        <w:rPr>
          <w:sz w:val="24"/>
        </w:rPr>
      </w:pPr>
    </w:p>
    <w:p w:rsidR="00E40F1F" w:rsidRPr="00C26417" w:rsidRDefault="00E40F1F" w:rsidP="008906F5">
      <w:pPr>
        <w:spacing w:line="288" w:lineRule="auto"/>
        <w:jc w:val="both"/>
        <w:rPr>
          <w:sz w:val="24"/>
        </w:rPr>
      </w:pPr>
      <w:r w:rsidRPr="00C26417">
        <w:rPr>
          <w:sz w:val="24"/>
        </w:rPr>
        <w:t>Danske virksomheder konkurrerer med virksomheder i udlandet om at tiltrække højt</w:t>
      </w:r>
      <w:r w:rsidR="006E752A">
        <w:rPr>
          <w:sz w:val="24"/>
        </w:rPr>
        <w:t xml:space="preserve"> </w:t>
      </w:r>
      <w:r w:rsidRPr="00C26417">
        <w:rPr>
          <w:sz w:val="24"/>
        </w:rPr>
        <w:t xml:space="preserve">kvalificeret arbejdskraft. En af de vigtigste faktorer, når det gælder om at tiltrække højt kvalificeret arbejdskraft, er de økonomiske vilkår, som danske virksomheder kan tilbyde. Forskerskatteordningen indebærer lempeligere indkomstskatteforhold og gør det dermed lettere for danske virksomheder at rekruttere højt kvalificerede udenlandske nøglemedarbejdere og forskere. Det gælder også højtkvalificerede danskere, der – efter en vis </w:t>
      </w:r>
      <w:r w:rsidRPr="00C26417">
        <w:rPr>
          <w:sz w:val="24"/>
        </w:rPr>
        <w:lastRenderedPageBreak/>
        <w:t xml:space="preserve">periode ude – flytter hjem. </w:t>
      </w:r>
    </w:p>
    <w:p w:rsidR="00E40F1F" w:rsidRPr="00C26417" w:rsidRDefault="00E40F1F" w:rsidP="008906F5">
      <w:pPr>
        <w:spacing w:line="288" w:lineRule="auto"/>
        <w:jc w:val="both"/>
        <w:rPr>
          <w:sz w:val="24"/>
        </w:rPr>
      </w:pPr>
    </w:p>
    <w:p w:rsidR="00E40F1F" w:rsidRDefault="00E40F1F" w:rsidP="008906F5">
      <w:pPr>
        <w:spacing w:line="288" w:lineRule="auto"/>
        <w:jc w:val="both"/>
        <w:rPr>
          <w:sz w:val="24"/>
        </w:rPr>
      </w:pPr>
      <w:r w:rsidRPr="00C26417">
        <w:rPr>
          <w:sz w:val="24"/>
        </w:rPr>
        <w:t xml:space="preserve">Dermed gør </w:t>
      </w:r>
      <w:r w:rsidR="008906F5">
        <w:rPr>
          <w:sz w:val="24"/>
        </w:rPr>
        <w:t>forskerskatte</w:t>
      </w:r>
      <w:r w:rsidRPr="00C26417">
        <w:rPr>
          <w:sz w:val="24"/>
        </w:rPr>
        <w:t xml:space="preserve">ordningen det også lettere for danske og udenlandske virksomheder at udvide deres aktiviteter i Danmark. </w:t>
      </w:r>
      <w:r w:rsidR="008906F5">
        <w:rPr>
          <w:sz w:val="24"/>
        </w:rPr>
        <w:t>Lovforslaget lemper på betingelserne for at anvende forskerskatteordningen og bidrager dermed til at gøre det lettere for danske og udenlandske virksomheder at udvide deres aktiviteter i Danmark og forbedrer dermed</w:t>
      </w:r>
      <w:r w:rsidRPr="00C26417">
        <w:rPr>
          <w:sz w:val="24"/>
        </w:rPr>
        <w:t xml:space="preserve"> konkurrenceevnen for virksomheder i Danmark. </w:t>
      </w:r>
    </w:p>
    <w:p w:rsidR="00E40F1F" w:rsidRPr="008906F5" w:rsidRDefault="00E40F1F" w:rsidP="00E40F1F">
      <w:pPr>
        <w:rPr>
          <w:iCs/>
          <w:sz w:val="24"/>
        </w:rPr>
      </w:pPr>
    </w:p>
    <w:p w:rsidR="00E40F1F" w:rsidRPr="00663EA9" w:rsidRDefault="00E40F1F" w:rsidP="00600AAC">
      <w:pPr>
        <w:spacing w:line="288" w:lineRule="auto"/>
        <w:rPr>
          <w:i/>
          <w:iCs/>
          <w:sz w:val="24"/>
        </w:rPr>
      </w:pPr>
      <w:r>
        <w:rPr>
          <w:i/>
          <w:iCs/>
          <w:sz w:val="24"/>
        </w:rPr>
        <w:t>3</w:t>
      </w:r>
      <w:r w:rsidRPr="00BC172D">
        <w:rPr>
          <w:i/>
          <w:iCs/>
          <w:sz w:val="24"/>
        </w:rPr>
        <w:t xml:space="preserve">. </w:t>
      </w:r>
      <w:r>
        <w:rPr>
          <w:i/>
          <w:iCs/>
          <w:sz w:val="24"/>
        </w:rPr>
        <w:t>Gældende ret</w:t>
      </w:r>
    </w:p>
    <w:p w:rsidR="00E40F1F" w:rsidRDefault="00E40F1F" w:rsidP="00600AAC">
      <w:pPr>
        <w:spacing w:line="288" w:lineRule="auto"/>
        <w:jc w:val="both"/>
        <w:rPr>
          <w:iCs/>
          <w:sz w:val="24"/>
        </w:rPr>
      </w:pPr>
      <w:r>
        <w:rPr>
          <w:iCs/>
          <w:sz w:val="24"/>
        </w:rPr>
        <w:t xml:space="preserve">Den særlige skatteordning for udenlandske forskere og nøglemedarbejdere – ofte kaldet ”forskerskatteordningen” – kan anvendes af enhver, der opfylder en række objektivt fastsatte betingelser. Der er intet skønselement og ingen dispensationsmuligheder i ordningen. </w:t>
      </w:r>
    </w:p>
    <w:p w:rsidR="008906F5" w:rsidRDefault="008906F5" w:rsidP="00600AAC">
      <w:pPr>
        <w:spacing w:line="288" w:lineRule="auto"/>
        <w:jc w:val="both"/>
        <w:rPr>
          <w:iCs/>
          <w:sz w:val="24"/>
        </w:rPr>
      </w:pPr>
    </w:p>
    <w:p w:rsidR="00E40F1F" w:rsidRDefault="00E40F1F" w:rsidP="00600AAC">
      <w:pPr>
        <w:spacing w:line="288" w:lineRule="auto"/>
        <w:jc w:val="both"/>
        <w:rPr>
          <w:iCs/>
          <w:sz w:val="24"/>
        </w:rPr>
      </w:pPr>
      <w:r>
        <w:rPr>
          <w:iCs/>
          <w:sz w:val="24"/>
        </w:rPr>
        <w:t>Hovedbetingelserne for at kunne anvende ordningen er følgende:</w:t>
      </w:r>
    </w:p>
    <w:p w:rsidR="00E40F1F" w:rsidRDefault="00E40F1F" w:rsidP="00600AAC">
      <w:pPr>
        <w:spacing w:line="288" w:lineRule="auto"/>
        <w:jc w:val="both"/>
        <w:rPr>
          <w:iCs/>
          <w:sz w:val="24"/>
        </w:rPr>
      </w:pPr>
    </w:p>
    <w:p w:rsidR="00E40F1F" w:rsidRDefault="008906F5" w:rsidP="00600AAC">
      <w:pPr>
        <w:numPr>
          <w:ilvl w:val="0"/>
          <w:numId w:val="6"/>
        </w:numPr>
        <w:spacing w:line="288" w:lineRule="auto"/>
        <w:jc w:val="both"/>
        <w:rPr>
          <w:iCs/>
          <w:sz w:val="24"/>
        </w:rPr>
      </w:pPr>
      <w:r>
        <w:rPr>
          <w:iCs/>
          <w:sz w:val="24"/>
        </w:rPr>
        <w:t>Medarbejderen</w:t>
      </w:r>
      <w:r w:rsidR="00E40F1F">
        <w:rPr>
          <w:iCs/>
          <w:sz w:val="24"/>
        </w:rPr>
        <w:t xml:space="preserve"> skal blive skattepligtig til Danmark samtidig med påbegyndelse af et ansættelsesforhold hos en dansk arbejdsgiver.</w:t>
      </w:r>
    </w:p>
    <w:p w:rsidR="00E40F1F" w:rsidRDefault="00E40F1F" w:rsidP="00600AAC">
      <w:pPr>
        <w:spacing w:line="288" w:lineRule="auto"/>
        <w:ind w:left="720"/>
        <w:jc w:val="both"/>
        <w:rPr>
          <w:iCs/>
          <w:sz w:val="24"/>
        </w:rPr>
      </w:pPr>
    </w:p>
    <w:p w:rsidR="00E40F1F" w:rsidRDefault="008906F5" w:rsidP="00600AAC">
      <w:pPr>
        <w:numPr>
          <w:ilvl w:val="0"/>
          <w:numId w:val="6"/>
        </w:numPr>
        <w:spacing w:line="288" w:lineRule="auto"/>
        <w:jc w:val="both"/>
        <w:rPr>
          <w:iCs/>
          <w:sz w:val="24"/>
        </w:rPr>
      </w:pPr>
      <w:r>
        <w:rPr>
          <w:iCs/>
          <w:sz w:val="24"/>
        </w:rPr>
        <w:t>Medarbejderen</w:t>
      </w:r>
      <w:r w:rsidR="00E40F1F">
        <w:rPr>
          <w:iCs/>
          <w:sz w:val="24"/>
        </w:rPr>
        <w:t xml:space="preserve"> må ikke inden for de seneste 10 år have været skattepligtig til Danmark af lønindkomst eller indkomst ved selvstændig virksomhed.</w:t>
      </w:r>
    </w:p>
    <w:p w:rsidR="00E40F1F" w:rsidRDefault="00E40F1F" w:rsidP="00600AAC">
      <w:pPr>
        <w:spacing w:line="288" w:lineRule="auto"/>
        <w:ind w:left="720"/>
        <w:jc w:val="both"/>
        <w:rPr>
          <w:iCs/>
          <w:sz w:val="24"/>
        </w:rPr>
      </w:pPr>
    </w:p>
    <w:p w:rsidR="00E40F1F" w:rsidRDefault="008906F5" w:rsidP="00600AAC">
      <w:pPr>
        <w:numPr>
          <w:ilvl w:val="0"/>
          <w:numId w:val="6"/>
        </w:numPr>
        <w:spacing w:line="288" w:lineRule="auto"/>
        <w:jc w:val="both"/>
        <w:rPr>
          <w:iCs/>
          <w:sz w:val="24"/>
        </w:rPr>
      </w:pPr>
      <w:r>
        <w:rPr>
          <w:iCs/>
          <w:sz w:val="24"/>
        </w:rPr>
        <w:t>Medarbejderen</w:t>
      </w:r>
      <w:r w:rsidR="00E40F1F">
        <w:rPr>
          <w:iCs/>
          <w:sz w:val="24"/>
        </w:rPr>
        <w:t xml:space="preserve"> må ikke inden for de seneste fem år have haft direkte eller indirekte del i ledelsen af, kontrollen med eller have haft væsentlig indflydelse på den virksomhed, hvor </w:t>
      </w:r>
      <w:r w:rsidR="00600AAC">
        <w:rPr>
          <w:iCs/>
          <w:sz w:val="24"/>
        </w:rPr>
        <w:t xml:space="preserve">den pågældende </w:t>
      </w:r>
      <w:r w:rsidR="00E40F1F">
        <w:rPr>
          <w:iCs/>
          <w:sz w:val="24"/>
        </w:rPr>
        <w:t>ansættes.</w:t>
      </w:r>
    </w:p>
    <w:p w:rsidR="00E40F1F" w:rsidRDefault="00E40F1F" w:rsidP="00600AAC">
      <w:pPr>
        <w:spacing w:line="288" w:lineRule="auto"/>
        <w:jc w:val="both"/>
        <w:rPr>
          <w:iCs/>
          <w:sz w:val="24"/>
        </w:rPr>
      </w:pPr>
    </w:p>
    <w:p w:rsidR="00E40F1F" w:rsidRDefault="008906F5" w:rsidP="00600AAC">
      <w:pPr>
        <w:numPr>
          <w:ilvl w:val="0"/>
          <w:numId w:val="6"/>
        </w:numPr>
        <w:spacing w:line="288" w:lineRule="auto"/>
        <w:jc w:val="both"/>
        <w:rPr>
          <w:iCs/>
          <w:sz w:val="24"/>
        </w:rPr>
      </w:pPr>
      <w:r>
        <w:rPr>
          <w:iCs/>
          <w:sz w:val="24"/>
        </w:rPr>
        <w:t>Medarbejderen</w:t>
      </w:r>
      <w:r w:rsidR="00E40F1F">
        <w:rPr>
          <w:iCs/>
          <w:sz w:val="24"/>
        </w:rPr>
        <w:t xml:space="preserve"> må ikke udføre arbejde uden for Danmark i et sådant omfang, at beskatningsretten til lønnen overgår til udlandet i medfør af en dobbeltbeskatningsoverenskomst.</w:t>
      </w:r>
    </w:p>
    <w:p w:rsidR="00E40F1F" w:rsidRDefault="00E40F1F" w:rsidP="00600AAC">
      <w:pPr>
        <w:spacing w:line="288" w:lineRule="auto"/>
        <w:ind w:left="720"/>
        <w:jc w:val="both"/>
        <w:rPr>
          <w:iCs/>
          <w:sz w:val="24"/>
        </w:rPr>
      </w:pPr>
    </w:p>
    <w:p w:rsidR="00E40F1F" w:rsidRPr="00084C42" w:rsidRDefault="008906F5" w:rsidP="00600AAC">
      <w:pPr>
        <w:numPr>
          <w:ilvl w:val="0"/>
          <w:numId w:val="6"/>
        </w:numPr>
        <w:spacing w:line="288" w:lineRule="auto"/>
        <w:jc w:val="both"/>
        <w:rPr>
          <w:iCs/>
          <w:sz w:val="24"/>
        </w:rPr>
      </w:pPr>
      <w:r>
        <w:rPr>
          <w:iCs/>
          <w:sz w:val="24"/>
        </w:rPr>
        <w:t>Medarbejderen</w:t>
      </w:r>
      <w:r w:rsidR="00E40F1F">
        <w:rPr>
          <w:iCs/>
          <w:sz w:val="24"/>
        </w:rPr>
        <w:t xml:space="preserve"> skal efter ansættelseskontrakten være garanteret en løn på i gennemsnit 69.300 kr. om måneden (2010-niveau). Der er tale om et grundbeløb, som </w:t>
      </w:r>
      <w:r w:rsidR="00E40F1F" w:rsidRPr="00432729">
        <w:rPr>
          <w:iCs/>
          <w:sz w:val="24"/>
        </w:rPr>
        <w:t xml:space="preserve">reguleres efter personskattelovens § 20 og </w:t>
      </w:r>
      <w:r w:rsidR="00E40F1F">
        <w:rPr>
          <w:iCs/>
          <w:sz w:val="24"/>
        </w:rPr>
        <w:t>for</w:t>
      </w:r>
      <w:r w:rsidR="00E40F1F" w:rsidRPr="00432729">
        <w:rPr>
          <w:iCs/>
          <w:sz w:val="24"/>
        </w:rPr>
        <w:t xml:space="preserve"> 2014 </w:t>
      </w:r>
      <w:r w:rsidR="00E40F1F">
        <w:rPr>
          <w:iCs/>
          <w:sz w:val="24"/>
        </w:rPr>
        <w:t xml:space="preserve">udgør </w:t>
      </w:r>
      <w:r w:rsidR="00E40F1F" w:rsidRPr="00432729">
        <w:rPr>
          <w:iCs/>
          <w:sz w:val="24"/>
        </w:rPr>
        <w:t xml:space="preserve">70.600 kr. </w:t>
      </w:r>
      <w:r w:rsidR="00E40F1F">
        <w:rPr>
          <w:iCs/>
          <w:sz w:val="24"/>
        </w:rPr>
        <w:t>Dette vederlagskrav gælder ikke for personer, hvis kvalifikationer som forskere er godkendt af en offentlig forskningsinstitution eller Det Frie Forskningsråd.</w:t>
      </w:r>
    </w:p>
    <w:p w:rsidR="00E40F1F" w:rsidRDefault="00E40F1F" w:rsidP="00600AAC">
      <w:pPr>
        <w:spacing w:line="288" w:lineRule="auto"/>
        <w:jc w:val="both"/>
        <w:rPr>
          <w:iCs/>
          <w:sz w:val="24"/>
        </w:rPr>
      </w:pPr>
    </w:p>
    <w:p w:rsidR="00E40F1F" w:rsidRDefault="00E40F1F" w:rsidP="00600AAC">
      <w:pPr>
        <w:spacing w:line="288" w:lineRule="auto"/>
        <w:jc w:val="both"/>
        <w:rPr>
          <w:iCs/>
          <w:sz w:val="24"/>
        </w:rPr>
      </w:pPr>
      <w:r>
        <w:rPr>
          <w:iCs/>
          <w:sz w:val="24"/>
        </w:rPr>
        <w:t xml:space="preserve">Når disse betingelser er opfyldt, kan </w:t>
      </w:r>
      <w:r w:rsidR="008906F5">
        <w:rPr>
          <w:iCs/>
          <w:sz w:val="24"/>
        </w:rPr>
        <w:t>forskeren eller nøgle</w:t>
      </w:r>
      <w:r>
        <w:rPr>
          <w:iCs/>
          <w:sz w:val="24"/>
        </w:rPr>
        <w:t xml:space="preserve">medarbejderen vælge at blive bruttobeskattet med 26 pct. </w:t>
      </w:r>
      <w:r w:rsidR="00600AAC">
        <w:rPr>
          <w:iCs/>
          <w:sz w:val="24"/>
        </w:rPr>
        <w:t>plus</w:t>
      </w:r>
      <w:r>
        <w:rPr>
          <w:iCs/>
          <w:sz w:val="24"/>
        </w:rPr>
        <w:t xml:space="preserve"> arbejdsmarkedsbidrag i en eller flere perioder af indtil fem års samlet varighed. </w:t>
      </w:r>
      <w:r w:rsidR="003F16C9">
        <w:rPr>
          <w:iCs/>
          <w:sz w:val="24"/>
        </w:rPr>
        <w:t>Der kan, med undtagelse af dokumenterede udgifter til obligatoriske udenlandske sociale bidrag og udenlandske sociale arbejdsgiverbidrag, ikke foretages fradrag i indkomst omfattet af forskerskatteordningen.</w:t>
      </w:r>
    </w:p>
    <w:p w:rsidR="00E40F1F" w:rsidRDefault="00E40F1F" w:rsidP="00600AAC">
      <w:pPr>
        <w:spacing w:line="288" w:lineRule="auto"/>
        <w:jc w:val="both"/>
        <w:rPr>
          <w:iCs/>
          <w:sz w:val="24"/>
        </w:rPr>
      </w:pPr>
    </w:p>
    <w:p w:rsidR="00E40F1F" w:rsidRDefault="003137D8" w:rsidP="00600AAC">
      <w:pPr>
        <w:spacing w:line="288" w:lineRule="auto"/>
        <w:rPr>
          <w:i/>
          <w:iCs/>
          <w:sz w:val="24"/>
        </w:rPr>
      </w:pPr>
      <w:r>
        <w:rPr>
          <w:i/>
          <w:iCs/>
          <w:sz w:val="24"/>
        </w:rPr>
        <w:t>4.</w:t>
      </w:r>
      <w:r w:rsidR="00E40F1F">
        <w:rPr>
          <w:i/>
          <w:iCs/>
          <w:sz w:val="24"/>
        </w:rPr>
        <w:t xml:space="preserve"> Lovforslaget</w:t>
      </w:r>
    </w:p>
    <w:p w:rsidR="00C96946" w:rsidRPr="00BC777C" w:rsidRDefault="00C96946" w:rsidP="00600AAC">
      <w:pPr>
        <w:spacing w:line="288" w:lineRule="auto"/>
        <w:jc w:val="both"/>
        <w:rPr>
          <w:sz w:val="24"/>
        </w:rPr>
      </w:pPr>
      <w:r w:rsidRPr="00BC777C">
        <w:rPr>
          <w:iCs/>
          <w:color w:val="000000"/>
          <w:sz w:val="24"/>
        </w:rPr>
        <w:t xml:space="preserve">Det foreslås at nedsætte det vederlagskrav, der giver adgang til beskatning under forskerskatteordningen. Vederlagskravet foreslås nedsat med 10.000 kr. fra 70.600 </w:t>
      </w:r>
      <w:r w:rsidR="003F16C9">
        <w:rPr>
          <w:iCs/>
          <w:color w:val="000000"/>
          <w:sz w:val="24"/>
        </w:rPr>
        <w:t xml:space="preserve">kr. </w:t>
      </w:r>
      <w:r w:rsidRPr="00BC777C">
        <w:rPr>
          <w:iCs/>
          <w:color w:val="000000"/>
          <w:sz w:val="24"/>
        </w:rPr>
        <w:t>til 60.600 kr. (2014-niveau) månedligt.</w:t>
      </w:r>
    </w:p>
    <w:p w:rsidR="00C96946" w:rsidRDefault="00C96946" w:rsidP="00600AAC">
      <w:pPr>
        <w:spacing w:line="288" w:lineRule="auto"/>
        <w:rPr>
          <w:i/>
          <w:iCs/>
          <w:sz w:val="24"/>
        </w:rPr>
      </w:pPr>
    </w:p>
    <w:p w:rsidR="00E40F1F" w:rsidRDefault="003E0A38" w:rsidP="00600AAC">
      <w:pPr>
        <w:spacing w:line="288" w:lineRule="auto"/>
        <w:rPr>
          <w:iCs/>
          <w:sz w:val="24"/>
        </w:rPr>
      </w:pPr>
      <w:r w:rsidRPr="00BC777C">
        <w:rPr>
          <w:iCs/>
          <w:color w:val="000000"/>
          <w:sz w:val="24"/>
        </w:rPr>
        <w:t xml:space="preserve">Formålet </w:t>
      </w:r>
      <w:r>
        <w:rPr>
          <w:iCs/>
          <w:color w:val="000000"/>
          <w:sz w:val="24"/>
        </w:rPr>
        <w:t>med forslaget er at</w:t>
      </w:r>
      <w:r w:rsidRPr="00BC777C">
        <w:rPr>
          <w:iCs/>
          <w:color w:val="000000"/>
          <w:sz w:val="24"/>
        </w:rPr>
        <w:t xml:space="preserve"> tiltrække flere personer til vigtige nøglefunktioner i Danmark. </w:t>
      </w:r>
    </w:p>
    <w:p w:rsidR="00E40F1F" w:rsidRPr="000C3B66" w:rsidRDefault="00E40F1F" w:rsidP="00600AAC">
      <w:pPr>
        <w:spacing w:line="288" w:lineRule="auto"/>
        <w:rPr>
          <w:iCs/>
          <w:sz w:val="24"/>
        </w:rPr>
      </w:pPr>
    </w:p>
    <w:p w:rsidR="00E40F1F" w:rsidRDefault="00E40F1F" w:rsidP="00600AAC">
      <w:pPr>
        <w:spacing w:line="288" w:lineRule="auto"/>
        <w:jc w:val="both"/>
        <w:rPr>
          <w:sz w:val="24"/>
        </w:rPr>
      </w:pPr>
      <w:r w:rsidRPr="001338AE">
        <w:rPr>
          <w:sz w:val="24"/>
        </w:rPr>
        <w:t xml:space="preserve">Flere højt kvalificerede </w:t>
      </w:r>
      <w:r>
        <w:rPr>
          <w:sz w:val="24"/>
        </w:rPr>
        <w:t>nøgle</w:t>
      </w:r>
      <w:r w:rsidRPr="001338AE">
        <w:rPr>
          <w:sz w:val="24"/>
        </w:rPr>
        <w:t>medarbejdere vil styrke danske virksomheders konkurrenceposition i en stadigt mere global verden og dermed øge vækstmulighederne i dansk økonomi.</w:t>
      </w:r>
    </w:p>
    <w:p w:rsidR="00376FD2" w:rsidRPr="00BC172D" w:rsidRDefault="00376FD2" w:rsidP="00600AAC">
      <w:pPr>
        <w:spacing w:line="288" w:lineRule="auto"/>
        <w:rPr>
          <w:i/>
          <w:iCs/>
          <w:sz w:val="24"/>
        </w:rPr>
      </w:pPr>
    </w:p>
    <w:p w:rsidR="00376FD2" w:rsidRPr="00BC172D" w:rsidRDefault="003137D8" w:rsidP="00600AAC">
      <w:pPr>
        <w:spacing w:line="288" w:lineRule="auto"/>
        <w:rPr>
          <w:i/>
          <w:iCs/>
          <w:sz w:val="24"/>
        </w:rPr>
      </w:pPr>
      <w:r>
        <w:rPr>
          <w:i/>
          <w:iCs/>
          <w:sz w:val="24"/>
        </w:rPr>
        <w:t>5</w:t>
      </w:r>
      <w:r w:rsidR="00376FD2" w:rsidRPr="00BC172D">
        <w:rPr>
          <w:i/>
          <w:iCs/>
          <w:sz w:val="24"/>
        </w:rPr>
        <w:t xml:space="preserve">. Økonomiske konsekvenser for det offentlige </w:t>
      </w:r>
    </w:p>
    <w:p w:rsidR="007F6647" w:rsidRDefault="007F6647" w:rsidP="007F6647">
      <w:pPr>
        <w:spacing w:line="288" w:lineRule="auto"/>
        <w:jc w:val="both"/>
        <w:rPr>
          <w:iCs/>
          <w:sz w:val="24"/>
        </w:rPr>
      </w:pPr>
      <w:r w:rsidRPr="007F6647">
        <w:rPr>
          <w:iCs/>
          <w:sz w:val="24"/>
        </w:rPr>
        <w:t xml:space="preserve">Den foreslåede nedsættelse af vederlagskravet for nøglemedarbejdere under forskerskatteordningen skønnes at medføre et årligt umiddelbart </w:t>
      </w:r>
      <w:proofErr w:type="spellStart"/>
      <w:r w:rsidRPr="007F6647">
        <w:rPr>
          <w:iCs/>
          <w:sz w:val="24"/>
        </w:rPr>
        <w:t>mindreprovenu</w:t>
      </w:r>
      <w:proofErr w:type="spellEnd"/>
      <w:r w:rsidRPr="007F6647">
        <w:rPr>
          <w:iCs/>
          <w:sz w:val="24"/>
        </w:rPr>
        <w:t xml:space="preserve"> på ca. 255 mio. kr. i 2015, </w:t>
      </w:r>
      <w:r w:rsidRPr="007F6647">
        <w:rPr>
          <w:i/>
          <w:iCs/>
          <w:sz w:val="24"/>
        </w:rPr>
        <w:t>jf. tabel 1</w:t>
      </w:r>
      <w:r w:rsidRPr="007F6647">
        <w:rPr>
          <w:iCs/>
          <w:sz w:val="24"/>
        </w:rPr>
        <w:t xml:space="preserve">. Efter tilbageløb og adfærd skønnes lovforslaget at medføre et årligt </w:t>
      </w:r>
      <w:proofErr w:type="spellStart"/>
      <w:r w:rsidRPr="007F6647">
        <w:rPr>
          <w:iCs/>
          <w:sz w:val="24"/>
        </w:rPr>
        <w:t>mindreprovenu</w:t>
      </w:r>
      <w:proofErr w:type="spellEnd"/>
      <w:r w:rsidRPr="007F6647">
        <w:rPr>
          <w:iCs/>
          <w:sz w:val="24"/>
        </w:rPr>
        <w:t xml:space="preserve"> på ca. 35 mio. kr. i 2015. </w:t>
      </w:r>
    </w:p>
    <w:p w:rsidR="007F6647" w:rsidRDefault="007F6647" w:rsidP="007F6647">
      <w:pPr>
        <w:spacing w:line="288" w:lineRule="auto"/>
        <w:jc w:val="both"/>
        <w:rPr>
          <w:iCs/>
          <w:sz w:val="24"/>
        </w:rPr>
      </w:pPr>
    </w:p>
    <w:tbl>
      <w:tblPr>
        <w:tblW w:w="5000" w:type="pct"/>
        <w:tblLayout w:type="fixed"/>
        <w:tblCellMar>
          <w:left w:w="70" w:type="dxa"/>
          <w:right w:w="70" w:type="dxa"/>
        </w:tblCellMar>
        <w:tblLook w:val="04A0" w:firstRow="1" w:lastRow="0" w:firstColumn="1" w:lastColumn="0" w:noHBand="0" w:noVBand="1"/>
      </w:tblPr>
      <w:tblGrid>
        <w:gridCol w:w="2419"/>
        <w:gridCol w:w="847"/>
        <w:gridCol w:w="849"/>
        <w:gridCol w:w="849"/>
        <w:gridCol w:w="849"/>
        <w:gridCol w:w="847"/>
        <w:gridCol w:w="849"/>
        <w:gridCol w:w="429"/>
        <w:gridCol w:w="420"/>
        <w:gridCol w:w="851"/>
      </w:tblGrid>
      <w:tr w:rsidR="007F6647" w:rsidRPr="004044C6" w:rsidTr="007F6647">
        <w:trPr>
          <w:trHeight w:val="255"/>
        </w:trPr>
        <w:tc>
          <w:tcPr>
            <w:tcW w:w="4310" w:type="pct"/>
            <w:gridSpan w:val="8"/>
            <w:tcBorders>
              <w:top w:val="single" w:sz="4" w:space="0" w:color="auto"/>
              <w:left w:val="nil"/>
              <w:bottom w:val="single" w:sz="4" w:space="0" w:color="auto"/>
              <w:right w:val="nil"/>
            </w:tcBorders>
            <w:shd w:val="clear" w:color="auto" w:fill="auto"/>
            <w:vAlign w:val="center"/>
            <w:hideMark/>
          </w:tcPr>
          <w:p w:rsidR="007F6647" w:rsidRPr="004044C6" w:rsidRDefault="007F6647" w:rsidP="007F6647">
            <w:pPr>
              <w:widowControl/>
              <w:autoSpaceDE/>
              <w:autoSpaceDN/>
              <w:adjustRightInd/>
              <w:rPr>
                <w:b/>
                <w:bCs/>
                <w:sz w:val="18"/>
                <w:szCs w:val="18"/>
              </w:rPr>
            </w:pPr>
            <w:r w:rsidRPr="004044C6">
              <w:rPr>
                <w:b/>
                <w:bCs/>
                <w:sz w:val="18"/>
                <w:szCs w:val="18"/>
              </w:rPr>
              <w:t xml:space="preserve">Tabel 1. Provenumæssige konsekvenser af en nedsættelse af vederlagskravet med 10.000 kr. </w:t>
            </w:r>
          </w:p>
        </w:tc>
        <w:tc>
          <w:tcPr>
            <w:tcW w:w="690" w:type="pct"/>
            <w:gridSpan w:val="2"/>
            <w:tcBorders>
              <w:top w:val="single" w:sz="4" w:space="0" w:color="auto"/>
              <w:left w:val="nil"/>
              <w:bottom w:val="single" w:sz="4" w:space="0" w:color="auto"/>
              <w:right w:val="nil"/>
            </w:tcBorders>
            <w:shd w:val="clear" w:color="auto" w:fill="auto"/>
            <w:noWrap/>
            <w:vAlign w:val="bottom"/>
            <w:hideMark/>
          </w:tcPr>
          <w:p w:rsidR="007F6647" w:rsidRPr="004044C6" w:rsidRDefault="007F6647" w:rsidP="007F6647">
            <w:pPr>
              <w:widowControl/>
              <w:autoSpaceDE/>
              <w:autoSpaceDN/>
              <w:adjustRightInd/>
              <w:rPr>
                <w:color w:val="000000"/>
                <w:sz w:val="18"/>
                <w:szCs w:val="18"/>
              </w:rPr>
            </w:pPr>
            <w:r w:rsidRPr="004044C6">
              <w:rPr>
                <w:color w:val="000000"/>
                <w:sz w:val="18"/>
                <w:szCs w:val="18"/>
              </w:rPr>
              <w:t> </w:t>
            </w:r>
          </w:p>
        </w:tc>
      </w:tr>
      <w:tr w:rsidR="007F6647" w:rsidRPr="004044C6" w:rsidTr="007F6647">
        <w:trPr>
          <w:trHeight w:val="450"/>
        </w:trPr>
        <w:tc>
          <w:tcPr>
            <w:tcW w:w="1313" w:type="pct"/>
            <w:tcBorders>
              <w:top w:val="nil"/>
              <w:left w:val="nil"/>
              <w:bottom w:val="single" w:sz="4" w:space="0" w:color="auto"/>
              <w:right w:val="nil"/>
            </w:tcBorders>
            <w:shd w:val="clear" w:color="auto" w:fill="auto"/>
            <w:vAlign w:val="bottom"/>
            <w:hideMark/>
          </w:tcPr>
          <w:p w:rsidR="007F6647" w:rsidRPr="004044C6" w:rsidRDefault="007F6647" w:rsidP="007F6647">
            <w:pPr>
              <w:widowControl/>
              <w:autoSpaceDE/>
              <w:autoSpaceDN/>
              <w:adjustRightInd/>
              <w:rPr>
                <w:color w:val="000000"/>
                <w:sz w:val="18"/>
                <w:szCs w:val="18"/>
              </w:rPr>
            </w:pPr>
            <w:r w:rsidRPr="004044C6">
              <w:rPr>
                <w:color w:val="000000"/>
                <w:sz w:val="18"/>
                <w:szCs w:val="18"/>
              </w:rPr>
              <w:t>Mio. kr. (2015-niveau)</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7F6647" w:rsidRPr="004044C6" w:rsidRDefault="007F6647" w:rsidP="007F6647">
            <w:pPr>
              <w:widowControl/>
              <w:autoSpaceDE/>
              <w:autoSpaceDN/>
              <w:adjustRightInd/>
              <w:jc w:val="center"/>
              <w:rPr>
                <w:color w:val="000000"/>
                <w:sz w:val="18"/>
                <w:szCs w:val="18"/>
              </w:rPr>
            </w:pPr>
            <w:r w:rsidRPr="004044C6">
              <w:rPr>
                <w:color w:val="000000"/>
                <w:sz w:val="18"/>
                <w:szCs w:val="18"/>
              </w:rPr>
              <w:t>Varig virkning</w:t>
            </w:r>
          </w:p>
        </w:tc>
        <w:tc>
          <w:tcPr>
            <w:tcW w:w="461" w:type="pct"/>
            <w:tcBorders>
              <w:top w:val="nil"/>
              <w:left w:val="nil"/>
              <w:bottom w:val="single" w:sz="4" w:space="0" w:color="auto"/>
              <w:right w:val="nil"/>
            </w:tcBorders>
            <w:shd w:val="clear" w:color="auto" w:fill="auto"/>
            <w:vAlign w:val="bottom"/>
            <w:hideMark/>
          </w:tcPr>
          <w:p w:rsidR="007F6647" w:rsidRPr="004044C6" w:rsidRDefault="007F6647" w:rsidP="007F6647">
            <w:pPr>
              <w:widowControl/>
              <w:autoSpaceDE/>
              <w:autoSpaceDN/>
              <w:adjustRightInd/>
              <w:jc w:val="center"/>
              <w:rPr>
                <w:color w:val="000000"/>
                <w:sz w:val="18"/>
                <w:szCs w:val="18"/>
              </w:rPr>
            </w:pPr>
            <w:r w:rsidRPr="004044C6">
              <w:rPr>
                <w:color w:val="000000"/>
                <w:sz w:val="18"/>
                <w:szCs w:val="18"/>
              </w:rPr>
              <w:t>2015</w:t>
            </w:r>
          </w:p>
        </w:tc>
        <w:tc>
          <w:tcPr>
            <w:tcW w:w="461" w:type="pct"/>
            <w:tcBorders>
              <w:top w:val="nil"/>
              <w:left w:val="nil"/>
              <w:bottom w:val="single" w:sz="4" w:space="0" w:color="auto"/>
              <w:right w:val="nil"/>
            </w:tcBorders>
            <w:shd w:val="clear" w:color="auto" w:fill="auto"/>
            <w:vAlign w:val="bottom"/>
            <w:hideMark/>
          </w:tcPr>
          <w:p w:rsidR="007F6647" w:rsidRPr="004044C6" w:rsidRDefault="007F6647" w:rsidP="007F6647">
            <w:pPr>
              <w:widowControl/>
              <w:autoSpaceDE/>
              <w:autoSpaceDN/>
              <w:adjustRightInd/>
              <w:jc w:val="center"/>
              <w:rPr>
                <w:color w:val="000000"/>
                <w:sz w:val="18"/>
                <w:szCs w:val="18"/>
              </w:rPr>
            </w:pPr>
            <w:r w:rsidRPr="004044C6">
              <w:rPr>
                <w:color w:val="000000"/>
                <w:sz w:val="18"/>
                <w:szCs w:val="18"/>
              </w:rPr>
              <w:t>2016</w:t>
            </w:r>
          </w:p>
        </w:tc>
        <w:tc>
          <w:tcPr>
            <w:tcW w:w="461" w:type="pct"/>
            <w:tcBorders>
              <w:top w:val="nil"/>
              <w:left w:val="nil"/>
              <w:bottom w:val="single" w:sz="4" w:space="0" w:color="auto"/>
              <w:right w:val="nil"/>
            </w:tcBorders>
            <w:shd w:val="clear" w:color="auto" w:fill="auto"/>
            <w:vAlign w:val="bottom"/>
            <w:hideMark/>
          </w:tcPr>
          <w:p w:rsidR="007F6647" w:rsidRPr="004044C6" w:rsidRDefault="007F6647" w:rsidP="007F6647">
            <w:pPr>
              <w:widowControl/>
              <w:autoSpaceDE/>
              <w:autoSpaceDN/>
              <w:adjustRightInd/>
              <w:jc w:val="center"/>
              <w:rPr>
                <w:color w:val="000000"/>
                <w:sz w:val="18"/>
                <w:szCs w:val="18"/>
              </w:rPr>
            </w:pPr>
            <w:r w:rsidRPr="004044C6">
              <w:rPr>
                <w:color w:val="000000"/>
                <w:sz w:val="18"/>
                <w:szCs w:val="18"/>
              </w:rPr>
              <w:t>2017</w:t>
            </w:r>
          </w:p>
        </w:tc>
        <w:tc>
          <w:tcPr>
            <w:tcW w:w="460" w:type="pct"/>
            <w:tcBorders>
              <w:top w:val="nil"/>
              <w:left w:val="nil"/>
              <w:bottom w:val="single" w:sz="4" w:space="0" w:color="auto"/>
              <w:right w:val="nil"/>
            </w:tcBorders>
            <w:shd w:val="clear" w:color="auto" w:fill="auto"/>
            <w:vAlign w:val="bottom"/>
            <w:hideMark/>
          </w:tcPr>
          <w:p w:rsidR="007F6647" w:rsidRPr="004044C6" w:rsidRDefault="007F6647" w:rsidP="007F6647">
            <w:pPr>
              <w:widowControl/>
              <w:autoSpaceDE/>
              <w:autoSpaceDN/>
              <w:adjustRightInd/>
              <w:jc w:val="center"/>
              <w:rPr>
                <w:color w:val="000000"/>
                <w:sz w:val="18"/>
                <w:szCs w:val="18"/>
              </w:rPr>
            </w:pPr>
            <w:r w:rsidRPr="004044C6">
              <w:rPr>
                <w:color w:val="000000"/>
                <w:sz w:val="18"/>
                <w:szCs w:val="18"/>
              </w:rPr>
              <w:t>2018</w:t>
            </w:r>
          </w:p>
        </w:tc>
        <w:tc>
          <w:tcPr>
            <w:tcW w:w="461" w:type="pct"/>
            <w:tcBorders>
              <w:top w:val="nil"/>
              <w:left w:val="nil"/>
              <w:bottom w:val="single" w:sz="4" w:space="0" w:color="auto"/>
              <w:right w:val="nil"/>
            </w:tcBorders>
            <w:shd w:val="clear" w:color="auto" w:fill="auto"/>
            <w:vAlign w:val="bottom"/>
            <w:hideMark/>
          </w:tcPr>
          <w:p w:rsidR="007F6647" w:rsidRPr="004044C6" w:rsidRDefault="007F6647" w:rsidP="007F6647">
            <w:pPr>
              <w:widowControl/>
              <w:autoSpaceDE/>
              <w:autoSpaceDN/>
              <w:adjustRightInd/>
              <w:jc w:val="center"/>
              <w:rPr>
                <w:color w:val="000000"/>
                <w:sz w:val="18"/>
                <w:szCs w:val="18"/>
              </w:rPr>
            </w:pPr>
            <w:r w:rsidRPr="004044C6">
              <w:rPr>
                <w:color w:val="000000"/>
                <w:sz w:val="18"/>
                <w:szCs w:val="18"/>
              </w:rPr>
              <w:t>2019</w:t>
            </w:r>
          </w:p>
        </w:tc>
        <w:tc>
          <w:tcPr>
            <w:tcW w:w="461" w:type="pct"/>
            <w:gridSpan w:val="2"/>
            <w:tcBorders>
              <w:top w:val="nil"/>
              <w:left w:val="nil"/>
              <w:bottom w:val="single" w:sz="4" w:space="0" w:color="auto"/>
              <w:right w:val="single" w:sz="4" w:space="0" w:color="auto"/>
            </w:tcBorders>
            <w:shd w:val="clear" w:color="auto" w:fill="auto"/>
            <w:vAlign w:val="bottom"/>
            <w:hideMark/>
          </w:tcPr>
          <w:p w:rsidR="007F6647" w:rsidRPr="004044C6" w:rsidRDefault="007F6647" w:rsidP="007F6647">
            <w:pPr>
              <w:widowControl/>
              <w:autoSpaceDE/>
              <w:autoSpaceDN/>
              <w:adjustRightInd/>
              <w:jc w:val="center"/>
              <w:rPr>
                <w:color w:val="000000"/>
                <w:sz w:val="18"/>
                <w:szCs w:val="18"/>
              </w:rPr>
            </w:pPr>
            <w:r w:rsidRPr="004044C6">
              <w:rPr>
                <w:color w:val="000000"/>
                <w:sz w:val="18"/>
                <w:szCs w:val="18"/>
              </w:rPr>
              <w:t>2020</w:t>
            </w:r>
          </w:p>
        </w:tc>
        <w:tc>
          <w:tcPr>
            <w:tcW w:w="462" w:type="pct"/>
            <w:tcBorders>
              <w:top w:val="nil"/>
              <w:left w:val="nil"/>
              <w:bottom w:val="single" w:sz="4" w:space="0" w:color="auto"/>
              <w:right w:val="nil"/>
            </w:tcBorders>
            <w:shd w:val="clear" w:color="auto" w:fill="auto"/>
            <w:vAlign w:val="center"/>
            <w:hideMark/>
          </w:tcPr>
          <w:p w:rsidR="007F6647" w:rsidRPr="004044C6" w:rsidRDefault="007F6647" w:rsidP="007F6647">
            <w:pPr>
              <w:widowControl/>
              <w:autoSpaceDE/>
              <w:autoSpaceDN/>
              <w:adjustRightInd/>
              <w:jc w:val="center"/>
              <w:rPr>
                <w:color w:val="000000"/>
                <w:sz w:val="18"/>
                <w:szCs w:val="18"/>
              </w:rPr>
            </w:pPr>
            <w:r w:rsidRPr="004044C6">
              <w:rPr>
                <w:color w:val="000000"/>
                <w:sz w:val="18"/>
                <w:szCs w:val="18"/>
              </w:rPr>
              <w:t>Finansårsvirkning</w:t>
            </w:r>
          </w:p>
        </w:tc>
      </w:tr>
      <w:tr w:rsidR="007F6647" w:rsidRPr="004044C6" w:rsidTr="007F6647">
        <w:trPr>
          <w:trHeight w:val="255"/>
        </w:trPr>
        <w:tc>
          <w:tcPr>
            <w:tcW w:w="1313" w:type="pct"/>
            <w:tcBorders>
              <w:top w:val="nil"/>
              <w:left w:val="nil"/>
              <w:bottom w:val="nil"/>
              <w:right w:val="nil"/>
            </w:tcBorders>
            <w:shd w:val="clear" w:color="auto" w:fill="auto"/>
            <w:vAlign w:val="center"/>
            <w:hideMark/>
          </w:tcPr>
          <w:p w:rsidR="007F6647" w:rsidRPr="004044C6" w:rsidRDefault="007F6647" w:rsidP="007F6647">
            <w:pPr>
              <w:widowControl/>
              <w:autoSpaceDE/>
              <w:autoSpaceDN/>
              <w:adjustRightInd/>
              <w:rPr>
                <w:color w:val="000000"/>
                <w:sz w:val="18"/>
                <w:szCs w:val="18"/>
              </w:rPr>
            </w:pPr>
            <w:r w:rsidRPr="004044C6">
              <w:rPr>
                <w:color w:val="000000"/>
                <w:sz w:val="18"/>
                <w:szCs w:val="18"/>
              </w:rPr>
              <w:t xml:space="preserve">Umiddelbart </w:t>
            </w:r>
            <w:proofErr w:type="spellStart"/>
            <w:r w:rsidRPr="004044C6">
              <w:rPr>
                <w:color w:val="000000"/>
                <w:sz w:val="18"/>
                <w:szCs w:val="18"/>
              </w:rPr>
              <w:t>mindreprovenu</w:t>
            </w:r>
            <w:proofErr w:type="spellEnd"/>
          </w:p>
        </w:tc>
        <w:tc>
          <w:tcPr>
            <w:tcW w:w="460" w:type="pct"/>
            <w:tcBorders>
              <w:top w:val="nil"/>
              <w:left w:val="single" w:sz="4" w:space="0" w:color="auto"/>
              <w:bottom w:val="nil"/>
              <w:right w:val="single" w:sz="4" w:space="0" w:color="auto"/>
            </w:tcBorders>
            <w:shd w:val="clear" w:color="auto" w:fill="auto"/>
            <w:vAlign w:val="bottom"/>
            <w:hideMark/>
          </w:tcPr>
          <w:p w:rsidR="007F6647" w:rsidRPr="004044C6" w:rsidRDefault="007F6647" w:rsidP="007F6647">
            <w:pPr>
              <w:widowControl/>
              <w:autoSpaceDE/>
              <w:autoSpaceDN/>
              <w:adjustRightInd/>
              <w:jc w:val="right"/>
              <w:rPr>
                <w:color w:val="000000"/>
                <w:sz w:val="18"/>
                <w:szCs w:val="18"/>
              </w:rPr>
            </w:pPr>
            <w:r w:rsidRPr="004044C6">
              <w:rPr>
                <w:color w:val="000000"/>
                <w:sz w:val="18"/>
                <w:szCs w:val="18"/>
              </w:rPr>
              <w:t>255</w:t>
            </w:r>
          </w:p>
        </w:tc>
        <w:tc>
          <w:tcPr>
            <w:tcW w:w="461" w:type="pct"/>
            <w:tcBorders>
              <w:top w:val="nil"/>
              <w:left w:val="nil"/>
              <w:bottom w:val="nil"/>
              <w:right w:val="nil"/>
            </w:tcBorders>
            <w:shd w:val="clear" w:color="auto" w:fill="auto"/>
            <w:vAlign w:val="bottom"/>
            <w:hideMark/>
          </w:tcPr>
          <w:p w:rsidR="007F6647" w:rsidRPr="004044C6" w:rsidRDefault="007F6647" w:rsidP="007F6647">
            <w:pPr>
              <w:widowControl/>
              <w:autoSpaceDE/>
              <w:autoSpaceDN/>
              <w:adjustRightInd/>
              <w:jc w:val="right"/>
              <w:rPr>
                <w:color w:val="000000"/>
                <w:sz w:val="18"/>
                <w:szCs w:val="18"/>
              </w:rPr>
            </w:pPr>
            <w:r w:rsidRPr="004044C6">
              <w:rPr>
                <w:color w:val="000000"/>
                <w:sz w:val="18"/>
                <w:szCs w:val="18"/>
              </w:rPr>
              <w:t>255</w:t>
            </w:r>
          </w:p>
        </w:tc>
        <w:tc>
          <w:tcPr>
            <w:tcW w:w="461" w:type="pct"/>
            <w:tcBorders>
              <w:top w:val="nil"/>
              <w:left w:val="nil"/>
              <w:bottom w:val="nil"/>
              <w:right w:val="nil"/>
            </w:tcBorders>
            <w:shd w:val="clear" w:color="auto" w:fill="auto"/>
            <w:vAlign w:val="bottom"/>
            <w:hideMark/>
          </w:tcPr>
          <w:p w:rsidR="007F6647" w:rsidRPr="004044C6" w:rsidRDefault="007F6647" w:rsidP="007F6647">
            <w:pPr>
              <w:widowControl/>
              <w:autoSpaceDE/>
              <w:autoSpaceDN/>
              <w:adjustRightInd/>
              <w:jc w:val="right"/>
              <w:rPr>
                <w:color w:val="000000"/>
                <w:sz w:val="18"/>
                <w:szCs w:val="18"/>
              </w:rPr>
            </w:pPr>
            <w:r w:rsidRPr="004044C6">
              <w:rPr>
                <w:color w:val="000000"/>
                <w:sz w:val="18"/>
                <w:szCs w:val="18"/>
              </w:rPr>
              <w:t>255</w:t>
            </w:r>
          </w:p>
        </w:tc>
        <w:tc>
          <w:tcPr>
            <w:tcW w:w="461" w:type="pct"/>
            <w:tcBorders>
              <w:top w:val="nil"/>
              <w:left w:val="nil"/>
              <w:bottom w:val="nil"/>
              <w:right w:val="nil"/>
            </w:tcBorders>
            <w:shd w:val="clear" w:color="auto" w:fill="auto"/>
            <w:vAlign w:val="bottom"/>
            <w:hideMark/>
          </w:tcPr>
          <w:p w:rsidR="007F6647" w:rsidRPr="004044C6" w:rsidRDefault="007F6647" w:rsidP="007F6647">
            <w:pPr>
              <w:widowControl/>
              <w:autoSpaceDE/>
              <w:autoSpaceDN/>
              <w:adjustRightInd/>
              <w:jc w:val="right"/>
              <w:rPr>
                <w:color w:val="000000"/>
                <w:sz w:val="18"/>
                <w:szCs w:val="18"/>
              </w:rPr>
            </w:pPr>
            <w:r w:rsidRPr="004044C6">
              <w:rPr>
                <w:color w:val="000000"/>
                <w:sz w:val="18"/>
                <w:szCs w:val="18"/>
              </w:rPr>
              <w:t>255</w:t>
            </w:r>
          </w:p>
        </w:tc>
        <w:tc>
          <w:tcPr>
            <w:tcW w:w="460" w:type="pct"/>
            <w:tcBorders>
              <w:top w:val="nil"/>
              <w:left w:val="nil"/>
              <w:bottom w:val="nil"/>
              <w:right w:val="nil"/>
            </w:tcBorders>
            <w:shd w:val="clear" w:color="auto" w:fill="auto"/>
            <w:vAlign w:val="bottom"/>
            <w:hideMark/>
          </w:tcPr>
          <w:p w:rsidR="007F6647" w:rsidRPr="004044C6" w:rsidRDefault="007F6647" w:rsidP="007F6647">
            <w:pPr>
              <w:widowControl/>
              <w:autoSpaceDE/>
              <w:autoSpaceDN/>
              <w:adjustRightInd/>
              <w:jc w:val="right"/>
              <w:rPr>
                <w:color w:val="000000"/>
                <w:sz w:val="18"/>
                <w:szCs w:val="18"/>
              </w:rPr>
            </w:pPr>
            <w:r w:rsidRPr="004044C6">
              <w:rPr>
                <w:color w:val="000000"/>
                <w:sz w:val="18"/>
                <w:szCs w:val="18"/>
              </w:rPr>
              <w:t>255</w:t>
            </w:r>
          </w:p>
        </w:tc>
        <w:tc>
          <w:tcPr>
            <w:tcW w:w="461" w:type="pct"/>
            <w:tcBorders>
              <w:top w:val="nil"/>
              <w:left w:val="nil"/>
              <w:bottom w:val="nil"/>
              <w:right w:val="nil"/>
            </w:tcBorders>
            <w:shd w:val="clear" w:color="auto" w:fill="auto"/>
            <w:vAlign w:val="bottom"/>
            <w:hideMark/>
          </w:tcPr>
          <w:p w:rsidR="007F6647" w:rsidRPr="004044C6" w:rsidRDefault="007F6647" w:rsidP="007F6647">
            <w:pPr>
              <w:widowControl/>
              <w:autoSpaceDE/>
              <w:autoSpaceDN/>
              <w:adjustRightInd/>
              <w:jc w:val="right"/>
              <w:rPr>
                <w:color w:val="000000"/>
                <w:sz w:val="18"/>
                <w:szCs w:val="18"/>
              </w:rPr>
            </w:pPr>
            <w:r w:rsidRPr="004044C6">
              <w:rPr>
                <w:color w:val="000000"/>
                <w:sz w:val="18"/>
                <w:szCs w:val="18"/>
              </w:rPr>
              <w:t>255</w:t>
            </w:r>
          </w:p>
        </w:tc>
        <w:tc>
          <w:tcPr>
            <w:tcW w:w="461" w:type="pct"/>
            <w:gridSpan w:val="2"/>
            <w:tcBorders>
              <w:top w:val="nil"/>
              <w:left w:val="nil"/>
              <w:bottom w:val="nil"/>
              <w:right w:val="single" w:sz="4" w:space="0" w:color="auto"/>
            </w:tcBorders>
            <w:shd w:val="clear" w:color="auto" w:fill="auto"/>
            <w:vAlign w:val="bottom"/>
            <w:hideMark/>
          </w:tcPr>
          <w:p w:rsidR="007F6647" w:rsidRPr="004044C6" w:rsidRDefault="007F6647" w:rsidP="007F6647">
            <w:pPr>
              <w:widowControl/>
              <w:autoSpaceDE/>
              <w:autoSpaceDN/>
              <w:adjustRightInd/>
              <w:jc w:val="right"/>
              <w:rPr>
                <w:color w:val="000000"/>
                <w:sz w:val="18"/>
                <w:szCs w:val="18"/>
              </w:rPr>
            </w:pPr>
            <w:r w:rsidRPr="004044C6">
              <w:rPr>
                <w:color w:val="000000"/>
                <w:sz w:val="18"/>
                <w:szCs w:val="18"/>
              </w:rPr>
              <w:t>255</w:t>
            </w:r>
          </w:p>
        </w:tc>
        <w:tc>
          <w:tcPr>
            <w:tcW w:w="462" w:type="pct"/>
            <w:tcBorders>
              <w:top w:val="nil"/>
              <w:left w:val="nil"/>
              <w:bottom w:val="nil"/>
              <w:right w:val="nil"/>
            </w:tcBorders>
            <w:shd w:val="clear" w:color="auto" w:fill="auto"/>
            <w:vAlign w:val="bottom"/>
            <w:hideMark/>
          </w:tcPr>
          <w:p w:rsidR="007F6647" w:rsidRPr="004044C6" w:rsidRDefault="007F6647" w:rsidP="007F6647">
            <w:pPr>
              <w:widowControl/>
              <w:autoSpaceDE/>
              <w:autoSpaceDN/>
              <w:adjustRightInd/>
              <w:jc w:val="right"/>
              <w:rPr>
                <w:color w:val="000000"/>
                <w:sz w:val="18"/>
                <w:szCs w:val="18"/>
              </w:rPr>
            </w:pPr>
            <w:r>
              <w:rPr>
                <w:color w:val="000000"/>
                <w:sz w:val="18"/>
                <w:szCs w:val="18"/>
              </w:rPr>
              <w:t>120</w:t>
            </w:r>
          </w:p>
        </w:tc>
      </w:tr>
      <w:tr w:rsidR="007F6647" w:rsidRPr="004044C6" w:rsidTr="007F6647">
        <w:trPr>
          <w:trHeight w:val="255"/>
        </w:trPr>
        <w:tc>
          <w:tcPr>
            <w:tcW w:w="1313" w:type="pct"/>
            <w:tcBorders>
              <w:top w:val="nil"/>
              <w:left w:val="nil"/>
              <w:bottom w:val="nil"/>
              <w:right w:val="nil"/>
            </w:tcBorders>
            <w:shd w:val="clear" w:color="auto" w:fill="auto"/>
            <w:vAlign w:val="center"/>
            <w:hideMark/>
          </w:tcPr>
          <w:p w:rsidR="007F6647" w:rsidRPr="004044C6" w:rsidRDefault="007F6647" w:rsidP="007F6647">
            <w:pPr>
              <w:widowControl/>
              <w:autoSpaceDE/>
              <w:autoSpaceDN/>
              <w:adjustRightInd/>
              <w:rPr>
                <w:color w:val="000000"/>
                <w:sz w:val="18"/>
                <w:szCs w:val="18"/>
              </w:rPr>
            </w:pPr>
            <w:proofErr w:type="spellStart"/>
            <w:r w:rsidRPr="004044C6">
              <w:rPr>
                <w:color w:val="000000"/>
                <w:sz w:val="18"/>
                <w:szCs w:val="18"/>
              </w:rPr>
              <w:t>Mindreprovenu</w:t>
            </w:r>
            <w:proofErr w:type="spellEnd"/>
            <w:r w:rsidRPr="004044C6">
              <w:rPr>
                <w:color w:val="000000"/>
                <w:sz w:val="18"/>
                <w:szCs w:val="18"/>
              </w:rPr>
              <w:t xml:space="preserve"> efter tilbageløb</w:t>
            </w:r>
          </w:p>
        </w:tc>
        <w:tc>
          <w:tcPr>
            <w:tcW w:w="460" w:type="pct"/>
            <w:tcBorders>
              <w:top w:val="nil"/>
              <w:left w:val="single" w:sz="4" w:space="0" w:color="auto"/>
              <w:bottom w:val="nil"/>
              <w:right w:val="single" w:sz="4" w:space="0" w:color="auto"/>
            </w:tcBorders>
            <w:shd w:val="clear" w:color="auto" w:fill="auto"/>
            <w:vAlign w:val="bottom"/>
            <w:hideMark/>
          </w:tcPr>
          <w:p w:rsidR="007F6647" w:rsidRPr="004044C6" w:rsidRDefault="007F6647" w:rsidP="007F6647">
            <w:pPr>
              <w:widowControl/>
              <w:autoSpaceDE/>
              <w:autoSpaceDN/>
              <w:adjustRightInd/>
              <w:jc w:val="right"/>
              <w:rPr>
                <w:color w:val="000000"/>
                <w:sz w:val="18"/>
                <w:szCs w:val="18"/>
              </w:rPr>
            </w:pPr>
            <w:r w:rsidRPr="004044C6">
              <w:rPr>
                <w:color w:val="000000"/>
                <w:sz w:val="18"/>
                <w:szCs w:val="18"/>
              </w:rPr>
              <w:t>215</w:t>
            </w:r>
          </w:p>
        </w:tc>
        <w:tc>
          <w:tcPr>
            <w:tcW w:w="461" w:type="pct"/>
            <w:tcBorders>
              <w:top w:val="nil"/>
              <w:left w:val="nil"/>
              <w:bottom w:val="nil"/>
              <w:right w:val="nil"/>
            </w:tcBorders>
            <w:shd w:val="clear" w:color="auto" w:fill="auto"/>
            <w:vAlign w:val="bottom"/>
            <w:hideMark/>
          </w:tcPr>
          <w:p w:rsidR="007F6647" w:rsidRPr="004044C6" w:rsidRDefault="007F6647" w:rsidP="007F6647">
            <w:pPr>
              <w:widowControl/>
              <w:autoSpaceDE/>
              <w:autoSpaceDN/>
              <w:adjustRightInd/>
              <w:jc w:val="right"/>
              <w:rPr>
                <w:color w:val="000000"/>
                <w:sz w:val="18"/>
                <w:szCs w:val="18"/>
              </w:rPr>
            </w:pPr>
            <w:r w:rsidRPr="004044C6">
              <w:rPr>
                <w:color w:val="000000"/>
                <w:sz w:val="18"/>
                <w:szCs w:val="18"/>
              </w:rPr>
              <w:t>215</w:t>
            </w:r>
          </w:p>
        </w:tc>
        <w:tc>
          <w:tcPr>
            <w:tcW w:w="461" w:type="pct"/>
            <w:tcBorders>
              <w:top w:val="nil"/>
              <w:left w:val="nil"/>
              <w:bottom w:val="nil"/>
              <w:right w:val="nil"/>
            </w:tcBorders>
            <w:shd w:val="clear" w:color="auto" w:fill="auto"/>
            <w:vAlign w:val="bottom"/>
            <w:hideMark/>
          </w:tcPr>
          <w:p w:rsidR="007F6647" w:rsidRPr="004044C6" w:rsidRDefault="007F6647" w:rsidP="007F6647">
            <w:pPr>
              <w:widowControl/>
              <w:autoSpaceDE/>
              <w:autoSpaceDN/>
              <w:adjustRightInd/>
              <w:jc w:val="right"/>
              <w:rPr>
                <w:color w:val="000000"/>
                <w:sz w:val="18"/>
                <w:szCs w:val="18"/>
              </w:rPr>
            </w:pPr>
            <w:r w:rsidRPr="004044C6">
              <w:rPr>
                <w:color w:val="000000"/>
                <w:sz w:val="18"/>
                <w:szCs w:val="18"/>
              </w:rPr>
              <w:t>215</w:t>
            </w:r>
          </w:p>
        </w:tc>
        <w:tc>
          <w:tcPr>
            <w:tcW w:w="461" w:type="pct"/>
            <w:tcBorders>
              <w:top w:val="nil"/>
              <w:left w:val="nil"/>
              <w:bottom w:val="nil"/>
              <w:right w:val="nil"/>
            </w:tcBorders>
            <w:shd w:val="clear" w:color="auto" w:fill="auto"/>
            <w:vAlign w:val="bottom"/>
            <w:hideMark/>
          </w:tcPr>
          <w:p w:rsidR="007F6647" w:rsidRPr="004044C6" w:rsidRDefault="007F6647" w:rsidP="007F6647">
            <w:pPr>
              <w:widowControl/>
              <w:autoSpaceDE/>
              <w:autoSpaceDN/>
              <w:adjustRightInd/>
              <w:jc w:val="right"/>
              <w:rPr>
                <w:color w:val="000000"/>
                <w:sz w:val="18"/>
                <w:szCs w:val="18"/>
              </w:rPr>
            </w:pPr>
            <w:r w:rsidRPr="004044C6">
              <w:rPr>
                <w:color w:val="000000"/>
                <w:sz w:val="18"/>
                <w:szCs w:val="18"/>
              </w:rPr>
              <w:t>215</w:t>
            </w:r>
          </w:p>
        </w:tc>
        <w:tc>
          <w:tcPr>
            <w:tcW w:w="460" w:type="pct"/>
            <w:tcBorders>
              <w:top w:val="nil"/>
              <w:left w:val="nil"/>
              <w:bottom w:val="nil"/>
              <w:right w:val="nil"/>
            </w:tcBorders>
            <w:shd w:val="clear" w:color="auto" w:fill="auto"/>
            <w:vAlign w:val="bottom"/>
            <w:hideMark/>
          </w:tcPr>
          <w:p w:rsidR="007F6647" w:rsidRPr="004044C6" w:rsidRDefault="007F6647" w:rsidP="007F6647">
            <w:pPr>
              <w:widowControl/>
              <w:autoSpaceDE/>
              <w:autoSpaceDN/>
              <w:adjustRightInd/>
              <w:jc w:val="right"/>
              <w:rPr>
                <w:color w:val="000000"/>
                <w:sz w:val="18"/>
                <w:szCs w:val="18"/>
              </w:rPr>
            </w:pPr>
            <w:r w:rsidRPr="004044C6">
              <w:rPr>
                <w:color w:val="000000"/>
                <w:sz w:val="18"/>
                <w:szCs w:val="18"/>
              </w:rPr>
              <w:t>215</w:t>
            </w:r>
          </w:p>
        </w:tc>
        <w:tc>
          <w:tcPr>
            <w:tcW w:w="461" w:type="pct"/>
            <w:tcBorders>
              <w:top w:val="nil"/>
              <w:left w:val="nil"/>
              <w:bottom w:val="nil"/>
              <w:right w:val="nil"/>
            </w:tcBorders>
            <w:shd w:val="clear" w:color="auto" w:fill="auto"/>
            <w:vAlign w:val="bottom"/>
            <w:hideMark/>
          </w:tcPr>
          <w:p w:rsidR="007F6647" w:rsidRPr="004044C6" w:rsidRDefault="007F6647" w:rsidP="007F6647">
            <w:pPr>
              <w:widowControl/>
              <w:autoSpaceDE/>
              <w:autoSpaceDN/>
              <w:adjustRightInd/>
              <w:jc w:val="right"/>
              <w:rPr>
                <w:color w:val="000000"/>
                <w:sz w:val="18"/>
                <w:szCs w:val="18"/>
              </w:rPr>
            </w:pPr>
            <w:r w:rsidRPr="004044C6">
              <w:rPr>
                <w:color w:val="000000"/>
                <w:sz w:val="18"/>
                <w:szCs w:val="18"/>
              </w:rPr>
              <w:t>215</w:t>
            </w:r>
          </w:p>
        </w:tc>
        <w:tc>
          <w:tcPr>
            <w:tcW w:w="461" w:type="pct"/>
            <w:gridSpan w:val="2"/>
            <w:tcBorders>
              <w:top w:val="nil"/>
              <w:left w:val="nil"/>
              <w:bottom w:val="nil"/>
              <w:right w:val="single" w:sz="4" w:space="0" w:color="auto"/>
            </w:tcBorders>
            <w:shd w:val="clear" w:color="auto" w:fill="auto"/>
            <w:vAlign w:val="bottom"/>
            <w:hideMark/>
          </w:tcPr>
          <w:p w:rsidR="007F6647" w:rsidRPr="004044C6" w:rsidRDefault="007F6647" w:rsidP="007F6647">
            <w:pPr>
              <w:widowControl/>
              <w:autoSpaceDE/>
              <w:autoSpaceDN/>
              <w:adjustRightInd/>
              <w:jc w:val="right"/>
              <w:rPr>
                <w:color w:val="000000"/>
                <w:sz w:val="18"/>
                <w:szCs w:val="18"/>
              </w:rPr>
            </w:pPr>
            <w:r w:rsidRPr="004044C6">
              <w:rPr>
                <w:color w:val="000000"/>
                <w:sz w:val="18"/>
                <w:szCs w:val="18"/>
              </w:rPr>
              <w:t>215</w:t>
            </w:r>
          </w:p>
        </w:tc>
        <w:tc>
          <w:tcPr>
            <w:tcW w:w="462" w:type="pct"/>
            <w:tcBorders>
              <w:top w:val="nil"/>
              <w:left w:val="nil"/>
              <w:bottom w:val="nil"/>
              <w:right w:val="nil"/>
            </w:tcBorders>
            <w:shd w:val="clear" w:color="auto" w:fill="auto"/>
            <w:vAlign w:val="bottom"/>
            <w:hideMark/>
          </w:tcPr>
          <w:p w:rsidR="007F6647" w:rsidRPr="004044C6" w:rsidRDefault="007F6647" w:rsidP="007F6647">
            <w:pPr>
              <w:widowControl/>
              <w:autoSpaceDE/>
              <w:autoSpaceDN/>
              <w:adjustRightInd/>
              <w:jc w:val="right"/>
              <w:rPr>
                <w:color w:val="000000"/>
                <w:sz w:val="18"/>
                <w:szCs w:val="18"/>
              </w:rPr>
            </w:pPr>
            <w:r>
              <w:rPr>
                <w:color w:val="000000"/>
                <w:sz w:val="18"/>
                <w:szCs w:val="18"/>
              </w:rPr>
              <w:t>-</w:t>
            </w:r>
          </w:p>
        </w:tc>
      </w:tr>
      <w:tr w:rsidR="007F6647" w:rsidRPr="004044C6" w:rsidTr="007F6647">
        <w:trPr>
          <w:trHeight w:val="255"/>
        </w:trPr>
        <w:tc>
          <w:tcPr>
            <w:tcW w:w="1313" w:type="pct"/>
            <w:tcBorders>
              <w:top w:val="single" w:sz="4" w:space="0" w:color="auto"/>
              <w:left w:val="nil"/>
              <w:bottom w:val="single" w:sz="4" w:space="0" w:color="auto"/>
              <w:right w:val="nil"/>
            </w:tcBorders>
            <w:shd w:val="clear" w:color="auto" w:fill="auto"/>
            <w:vAlign w:val="center"/>
            <w:hideMark/>
          </w:tcPr>
          <w:p w:rsidR="007F6647" w:rsidRPr="004044C6" w:rsidRDefault="007F6647" w:rsidP="007F6647">
            <w:pPr>
              <w:widowControl/>
              <w:autoSpaceDE/>
              <w:autoSpaceDN/>
              <w:adjustRightInd/>
              <w:rPr>
                <w:b/>
                <w:bCs/>
                <w:color w:val="000000"/>
                <w:sz w:val="18"/>
                <w:szCs w:val="18"/>
              </w:rPr>
            </w:pPr>
            <w:proofErr w:type="spellStart"/>
            <w:r w:rsidRPr="004044C6">
              <w:rPr>
                <w:b/>
                <w:bCs/>
                <w:color w:val="000000"/>
                <w:sz w:val="18"/>
                <w:szCs w:val="18"/>
              </w:rPr>
              <w:t>Mindreprovenu</w:t>
            </w:r>
            <w:proofErr w:type="spellEnd"/>
            <w:r w:rsidRPr="004044C6">
              <w:rPr>
                <w:b/>
                <w:bCs/>
                <w:color w:val="000000"/>
                <w:sz w:val="18"/>
                <w:szCs w:val="18"/>
              </w:rPr>
              <w:t xml:space="preserve"> efter tilbageløb og adfærd</w:t>
            </w:r>
          </w:p>
        </w:tc>
        <w:tc>
          <w:tcPr>
            <w:tcW w:w="4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F6647" w:rsidRPr="004044C6" w:rsidRDefault="007F6647" w:rsidP="007F6647">
            <w:pPr>
              <w:widowControl/>
              <w:autoSpaceDE/>
              <w:autoSpaceDN/>
              <w:adjustRightInd/>
              <w:jc w:val="right"/>
              <w:rPr>
                <w:b/>
                <w:bCs/>
                <w:color w:val="000000"/>
                <w:sz w:val="18"/>
                <w:szCs w:val="18"/>
              </w:rPr>
            </w:pPr>
            <w:r w:rsidRPr="004044C6">
              <w:rPr>
                <w:b/>
                <w:bCs/>
                <w:color w:val="000000"/>
                <w:sz w:val="18"/>
                <w:szCs w:val="18"/>
              </w:rPr>
              <w:t>35</w:t>
            </w:r>
          </w:p>
        </w:tc>
        <w:tc>
          <w:tcPr>
            <w:tcW w:w="461" w:type="pct"/>
            <w:tcBorders>
              <w:top w:val="single" w:sz="4" w:space="0" w:color="auto"/>
              <w:left w:val="nil"/>
              <w:bottom w:val="single" w:sz="4" w:space="0" w:color="auto"/>
              <w:right w:val="nil"/>
            </w:tcBorders>
            <w:shd w:val="clear" w:color="auto" w:fill="auto"/>
            <w:vAlign w:val="bottom"/>
            <w:hideMark/>
          </w:tcPr>
          <w:p w:rsidR="007F6647" w:rsidRPr="004044C6" w:rsidRDefault="007F6647" w:rsidP="007F6647">
            <w:pPr>
              <w:widowControl/>
              <w:autoSpaceDE/>
              <w:autoSpaceDN/>
              <w:adjustRightInd/>
              <w:jc w:val="right"/>
              <w:rPr>
                <w:b/>
                <w:bCs/>
                <w:color w:val="000000"/>
                <w:sz w:val="18"/>
                <w:szCs w:val="18"/>
              </w:rPr>
            </w:pPr>
            <w:r w:rsidRPr="004044C6">
              <w:rPr>
                <w:b/>
                <w:bCs/>
                <w:color w:val="000000"/>
                <w:sz w:val="18"/>
                <w:szCs w:val="18"/>
              </w:rPr>
              <w:t>35</w:t>
            </w:r>
          </w:p>
        </w:tc>
        <w:tc>
          <w:tcPr>
            <w:tcW w:w="461" w:type="pct"/>
            <w:tcBorders>
              <w:top w:val="single" w:sz="4" w:space="0" w:color="auto"/>
              <w:left w:val="nil"/>
              <w:bottom w:val="single" w:sz="4" w:space="0" w:color="auto"/>
              <w:right w:val="nil"/>
            </w:tcBorders>
            <w:shd w:val="clear" w:color="auto" w:fill="auto"/>
            <w:vAlign w:val="bottom"/>
            <w:hideMark/>
          </w:tcPr>
          <w:p w:rsidR="007F6647" w:rsidRPr="004044C6" w:rsidRDefault="007F6647" w:rsidP="007F6647">
            <w:pPr>
              <w:widowControl/>
              <w:autoSpaceDE/>
              <w:autoSpaceDN/>
              <w:adjustRightInd/>
              <w:jc w:val="right"/>
              <w:rPr>
                <w:b/>
                <w:bCs/>
                <w:color w:val="000000"/>
                <w:sz w:val="18"/>
                <w:szCs w:val="18"/>
              </w:rPr>
            </w:pPr>
            <w:r w:rsidRPr="004044C6">
              <w:rPr>
                <w:b/>
                <w:bCs/>
                <w:color w:val="000000"/>
                <w:sz w:val="18"/>
                <w:szCs w:val="18"/>
              </w:rPr>
              <w:t>35</w:t>
            </w:r>
          </w:p>
        </w:tc>
        <w:tc>
          <w:tcPr>
            <w:tcW w:w="461" w:type="pct"/>
            <w:tcBorders>
              <w:top w:val="single" w:sz="4" w:space="0" w:color="auto"/>
              <w:left w:val="nil"/>
              <w:bottom w:val="single" w:sz="4" w:space="0" w:color="auto"/>
              <w:right w:val="nil"/>
            </w:tcBorders>
            <w:shd w:val="clear" w:color="auto" w:fill="auto"/>
            <w:vAlign w:val="bottom"/>
            <w:hideMark/>
          </w:tcPr>
          <w:p w:rsidR="007F6647" w:rsidRPr="004044C6" w:rsidRDefault="007F6647" w:rsidP="007F6647">
            <w:pPr>
              <w:widowControl/>
              <w:autoSpaceDE/>
              <w:autoSpaceDN/>
              <w:adjustRightInd/>
              <w:jc w:val="right"/>
              <w:rPr>
                <w:b/>
                <w:bCs/>
                <w:color w:val="000000"/>
                <w:sz w:val="18"/>
                <w:szCs w:val="18"/>
              </w:rPr>
            </w:pPr>
            <w:r w:rsidRPr="004044C6">
              <w:rPr>
                <w:b/>
                <w:bCs/>
                <w:color w:val="000000"/>
                <w:sz w:val="18"/>
                <w:szCs w:val="18"/>
              </w:rPr>
              <w:t>35</w:t>
            </w:r>
          </w:p>
        </w:tc>
        <w:tc>
          <w:tcPr>
            <w:tcW w:w="460" w:type="pct"/>
            <w:tcBorders>
              <w:top w:val="single" w:sz="4" w:space="0" w:color="auto"/>
              <w:left w:val="nil"/>
              <w:bottom w:val="single" w:sz="4" w:space="0" w:color="auto"/>
              <w:right w:val="nil"/>
            </w:tcBorders>
            <w:shd w:val="clear" w:color="auto" w:fill="auto"/>
            <w:vAlign w:val="bottom"/>
            <w:hideMark/>
          </w:tcPr>
          <w:p w:rsidR="007F6647" w:rsidRPr="004044C6" w:rsidRDefault="007F6647" w:rsidP="007F6647">
            <w:pPr>
              <w:widowControl/>
              <w:autoSpaceDE/>
              <w:autoSpaceDN/>
              <w:adjustRightInd/>
              <w:jc w:val="right"/>
              <w:rPr>
                <w:b/>
                <w:bCs/>
                <w:color w:val="000000"/>
                <w:sz w:val="18"/>
                <w:szCs w:val="18"/>
              </w:rPr>
            </w:pPr>
            <w:r w:rsidRPr="004044C6">
              <w:rPr>
                <w:b/>
                <w:bCs/>
                <w:color w:val="000000"/>
                <w:sz w:val="18"/>
                <w:szCs w:val="18"/>
              </w:rPr>
              <w:t>35</w:t>
            </w:r>
          </w:p>
        </w:tc>
        <w:tc>
          <w:tcPr>
            <w:tcW w:w="461" w:type="pct"/>
            <w:tcBorders>
              <w:top w:val="single" w:sz="4" w:space="0" w:color="auto"/>
              <w:left w:val="nil"/>
              <w:bottom w:val="single" w:sz="4" w:space="0" w:color="auto"/>
              <w:right w:val="nil"/>
            </w:tcBorders>
            <w:shd w:val="clear" w:color="auto" w:fill="auto"/>
            <w:vAlign w:val="bottom"/>
            <w:hideMark/>
          </w:tcPr>
          <w:p w:rsidR="007F6647" w:rsidRPr="004044C6" w:rsidRDefault="007F6647" w:rsidP="007F6647">
            <w:pPr>
              <w:widowControl/>
              <w:autoSpaceDE/>
              <w:autoSpaceDN/>
              <w:adjustRightInd/>
              <w:jc w:val="right"/>
              <w:rPr>
                <w:b/>
                <w:bCs/>
                <w:color w:val="000000"/>
                <w:sz w:val="18"/>
                <w:szCs w:val="18"/>
              </w:rPr>
            </w:pPr>
            <w:r w:rsidRPr="004044C6">
              <w:rPr>
                <w:b/>
                <w:bCs/>
                <w:color w:val="000000"/>
                <w:sz w:val="18"/>
                <w:szCs w:val="18"/>
              </w:rPr>
              <w:t>35</w:t>
            </w:r>
          </w:p>
        </w:tc>
        <w:tc>
          <w:tcPr>
            <w:tcW w:w="461" w:type="pct"/>
            <w:gridSpan w:val="2"/>
            <w:tcBorders>
              <w:top w:val="single" w:sz="4" w:space="0" w:color="auto"/>
              <w:left w:val="nil"/>
              <w:bottom w:val="single" w:sz="4" w:space="0" w:color="auto"/>
              <w:right w:val="single" w:sz="4" w:space="0" w:color="auto"/>
            </w:tcBorders>
            <w:shd w:val="clear" w:color="auto" w:fill="auto"/>
            <w:vAlign w:val="bottom"/>
            <w:hideMark/>
          </w:tcPr>
          <w:p w:rsidR="007F6647" w:rsidRPr="004044C6" w:rsidRDefault="007F6647" w:rsidP="007F6647">
            <w:pPr>
              <w:widowControl/>
              <w:autoSpaceDE/>
              <w:autoSpaceDN/>
              <w:adjustRightInd/>
              <w:jc w:val="right"/>
              <w:rPr>
                <w:b/>
                <w:bCs/>
                <w:color w:val="000000"/>
                <w:sz w:val="18"/>
                <w:szCs w:val="18"/>
              </w:rPr>
            </w:pPr>
            <w:r w:rsidRPr="004044C6">
              <w:rPr>
                <w:b/>
                <w:bCs/>
                <w:color w:val="000000"/>
                <w:sz w:val="18"/>
                <w:szCs w:val="18"/>
              </w:rPr>
              <w:t>35</w:t>
            </w:r>
          </w:p>
        </w:tc>
        <w:tc>
          <w:tcPr>
            <w:tcW w:w="462" w:type="pct"/>
            <w:tcBorders>
              <w:top w:val="single" w:sz="4" w:space="0" w:color="auto"/>
              <w:left w:val="nil"/>
              <w:bottom w:val="single" w:sz="4" w:space="0" w:color="auto"/>
              <w:right w:val="nil"/>
            </w:tcBorders>
            <w:shd w:val="clear" w:color="auto" w:fill="auto"/>
            <w:vAlign w:val="bottom"/>
            <w:hideMark/>
          </w:tcPr>
          <w:p w:rsidR="007F6647" w:rsidRPr="004044C6" w:rsidRDefault="007F6647" w:rsidP="007F6647">
            <w:pPr>
              <w:widowControl/>
              <w:autoSpaceDE/>
              <w:autoSpaceDN/>
              <w:adjustRightInd/>
              <w:jc w:val="right"/>
              <w:rPr>
                <w:b/>
                <w:bCs/>
                <w:color w:val="000000"/>
                <w:sz w:val="18"/>
                <w:szCs w:val="18"/>
              </w:rPr>
            </w:pPr>
            <w:r>
              <w:rPr>
                <w:b/>
                <w:bCs/>
                <w:color w:val="000000"/>
                <w:sz w:val="18"/>
                <w:szCs w:val="18"/>
              </w:rPr>
              <w:t>-</w:t>
            </w:r>
          </w:p>
        </w:tc>
      </w:tr>
      <w:tr w:rsidR="007F6647" w:rsidRPr="004044C6" w:rsidTr="007F6647">
        <w:trPr>
          <w:trHeight w:val="255"/>
        </w:trPr>
        <w:tc>
          <w:tcPr>
            <w:tcW w:w="1313" w:type="pct"/>
            <w:tcBorders>
              <w:top w:val="single" w:sz="4" w:space="0" w:color="auto"/>
              <w:left w:val="nil"/>
              <w:bottom w:val="single" w:sz="4" w:space="0" w:color="auto"/>
              <w:right w:val="nil"/>
            </w:tcBorders>
            <w:shd w:val="clear" w:color="auto" w:fill="auto"/>
            <w:vAlign w:val="center"/>
          </w:tcPr>
          <w:p w:rsidR="007F6647" w:rsidRPr="002E1C43" w:rsidRDefault="007F6647" w:rsidP="007F6647">
            <w:pPr>
              <w:widowControl/>
              <w:autoSpaceDE/>
              <w:autoSpaceDN/>
              <w:adjustRightInd/>
              <w:rPr>
                <w:bCs/>
                <w:color w:val="000000"/>
                <w:sz w:val="18"/>
                <w:szCs w:val="18"/>
              </w:rPr>
            </w:pPr>
            <w:r w:rsidRPr="002E1C43">
              <w:rPr>
                <w:bCs/>
                <w:color w:val="000000"/>
                <w:sz w:val="18"/>
                <w:szCs w:val="18"/>
              </w:rPr>
              <w:t>Provenuvirkning for kommunerne</w:t>
            </w:r>
          </w:p>
        </w:tc>
        <w:tc>
          <w:tcPr>
            <w:tcW w:w="460" w:type="pct"/>
            <w:tcBorders>
              <w:top w:val="single" w:sz="4" w:space="0" w:color="auto"/>
              <w:left w:val="single" w:sz="4" w:space="0" w:color="auto"/>
              <w:bottom w:val="single" w:sz="4" w:space="0" w:color="auto"/>
              <w:right w:val="single" w:sz="4" w:space="0" w:color="auto"/>
            </w:tcBorders>
            <w:shd w:val="clear" w:color="auto" w:fill="auto"/>
            <w:vAlign w:val="bottom"/>
          </w:tcPr>
          <w:p w:rsidR="007F6647" w:rsidRPr="002E1C43" w:rsidRDefault="007F6647" w:rsidP="007F6647">
            <w:pPr>
              <w:widowControl/>
              <w:autoSpaceDE/>
              <w:autoSpaceDN/>
              <w:adjustRightInd/>
              <w:jc w:val="right"/>
              <w:rPr>
                <w:bCs/>
                <w:color w:val="000000"/>
                <w:sz w:val="18"/>
                <w:szCs w:val="18"/>
              </w:rPr>
            </w:pPr>
            <w:r w:rsidRPr="002E1C43">
              <w:rPr>
                <w:bCs/>
                <w:color w:val="000000"/>
                <w:sz w:val="18"/>
                <w:szCs w:val="18"/>
              </w:rPr>
              <w:t>-25</w:t>
            </w:r>
            <w:r>
              <w:rPr>
                <w:bCs/>
                <w:color w:val="000000"/>
                <w:sz w:val="18"/>
                <w:szCs w:val="18"/>
              </w:rPr>
              <w:t>5</w:t>
            </w:r>
          </w:p>
        </w:tc>
        <w:tc>
          <w:tcPr>
            <w:tcW w:w="461" w:type="pct"/>
            <w:tcBorders>
              <w:top w:val="single" w:sz="4" w:space="0" w:color="auto"/>
              <w:left w:val="nil"/>
              <w:bottom w:val="single" w:sz="4" w:space="0" w:color="auto"/>
              <w:right w:val="nil"/>
            </w:tcBorders>
            <w:shd w:val="clear" w:color="auto" w:fill="auto"/>
            <w:vAlign w:val="bottom"/>
          </w:tcPr>
          <w:p w:rsidR="007F6647" w:rsidRPr="002E1C43" w:rsidRDefault="007F6647" w:rsidP="007F6647">
            <w:pPr>
              <w:widowControl/>
              <w:autoSpaceDE/>
              <w:autoSpaceDN/>
              <w:adjustRightInd/>
              <w:jc w:val="right"/>
              <w:rPr>
                <w:bCs/>
                <w:color w:val="000000"/>
                <w:sz w:val="18"/>
                <w:szCs w:val="18"/>
              </w:rPr>
            </w:pPr>
            <w:r w:rsidRPr="002E1C43">
              <w:rPr>
                <w:bCs/>
                <w:color w:val="000000"/>
                <w:sz w:val="18"/>
                <w:szCs w:val="18"/>
              </w:rPr>
              <w:t>-25</w:t>
            </w:r>
            <w:r>
              <w:rPr>
                <w:bCs/>
                <w:color w:val="000000"/>
                <w:sz w:val="18"/>
                <w:szCs w:val="18"/>
              </w:rPr>
              <w:t>5</w:t>
            </w:r>
          </w:p>
        </w:tc>
        <w:tc>
          <w:tcPr>
            <w:tcW w:w="461" w:type="pct"/>
            <w:tcBorders>
              <w:top w:val="single" w:sz="4" w:space="0" w:color="auto"/>
              <w:left w:val="nil"/>
              <w:bottom w:val="single" w:sz="4" w:space="0" w:color="auto"/>
              <w:right w:val="nil"/>
            </w:tcBorders>
            <w:shd w:val="clear" w:color="auto" w:fill="auto"/>
            <w:vAlign w:val="bottom"/>
          </w:tcPr>
          <w:p w:rsidR="007F6647" w:rsidRPr="002E1C43" w:rsidRDefault="007F6647" w:rsidP="007F6647">
            <w:pPr>
              <w:widowControl/>
              <w:autoSpaceDE/>
              <w:autoSpaceDN/>
              <w:adjustRightInd/>
              <w:jc w:val="right"/>
              <w:rPr>
                <w:bCs/>
                <w:color w:val="000000"/>
                <w:sz w:val="18"/>
                <w:szCs w:val="18"/>
              </w:rPr>
            </w:pPr>
            <w:r w:rsidRPr="002E1C43">
              <w:rPr>
                <w:bCs/>
                <w:color w:val="000000"/>
                <w:sz w:val="18"/>
                <w:szCs w:val="18"/>
              </w:rPr>
              <w:t>-25</w:t>
            </w:r>
            <w:r>
              <w:rPr>
                <w:bCs/>
                <w:color w:val="000000"/>
                <w:sz w:val="18"/>
                <w:szCs w:val="18"/>
              </w:rPr>
              <w:t>5</w:t>
            </w:r>
          </w:p>
        </w:tc>
        <w:tc>
          <w:tcPr>
            <w:tcW w:w="461" w:type="pct"/>
            <w:tcBorders>
              <w:top w:val="single" w:sz="4" w:space="0" w:color="auto"/>
              <w:left w:val="nil"/>
              <w:bottom w:val="single" w:sz="4" w:space="0" w:color="auto"/>
              <w:right w:val="nil"/>
            </w:tcBorders>
            <w:shd w:val="clear" w:color="auto" w:fill="auto"/>
            <w:vAlign w:val="bottom"/>
          </w:tcPr>
          <w:p w:rsidR="007F6647" w:rsidRDefault="007F6647" w:rsidP="007F6647">
            <w:pPr>
              <w:jc w:val="right"/>
            </w:pPr>
            <w:r w:rsidRPr="00223752">
              <w:rPr>
                <w:bCs/>
                <w:color w:val="000000"/>
                <w:sz w:val="18"/>
                <w:szCs w:val="18"/>
              </w:rPr>
              <w:t>-255</w:t>
            </w:r>
          </w:p>
        </w:tc>
        <w:tc>
          <w:tcPr>
            <w:tcW w:w="460" w:type="pct"/>
            <w:tcBorders>
              <w:top w:val="single" w:sz="4" w:space="0" w:color="auto"/>
              <w:left w:val="nil"/>
              <w:bottom w:val="single" w:sz="4" w:space="0" w:color="auto"/>
              <w:right w:val="nil"/>
            </w:tcBorders>
            <w:shd w:val="clear" w:color="auto" w:fill="auto"/>
            <w:vAlign w:val="bottom"/>
          </w:tcPr>
          <w:p w:rsidR="007F6647" w:rsidRDefault="007F6647" w:rsidP="007F6647">
            <w:pPr>
              <w:jc w:val="right"/>
            </w:pPr>
            <w:r w:rsidRPr="00223752">
              <w:rPr>
                <w:bCs/>
                <w:color w:val="000000"/>
                <w:sz w:val="18"/>
                <w:szCs w:val="18"/>
              </w:rPr>
              <w:t>-255</w:t>
            </w:r>
          </w:p>
        </w:tc>
        <w:tc>
          <w:tcPr>
            <w:tcW w:w="461" w:type="pct"/>
            <w:tcBorders>
              <w:top w:val="single" w:sz="4" w:space="0" w:color="auto"/>
              <w:left w:val="nil"/>
              <w:bottom w:val="single" w:sz="4" w:space="0" w:color="auto"/>
              <w:right w:val="nil"/>
            </w:tcBorders>
            <w:shd w:val="clear" w:color="auto" w:fill="auto"/>
            <w:vAlign w:val="bottom"/>
          </w:tcPr>
          <w:p w:rsidR="007F6647" w:rsidRDefault="007F6647" w:rsidP="007F6647">
            <w:pPr>
              <w:jc w:val="right"/>
            </w:pPr>
            <w:r w:rsidRPr="00223752">
              <w:rPr>
                <w:bCs/>
                <w:color w:val="000000"/>
                <w:sz w:val="18"/>
                <w:szCs w:val="18"/>
              </w:rPr>
              <w:t>-255</w:t>
            </w:r>
          </w:p>
        </w:tc>
        <w:tc>
          <w:tcPr>
            <w:tcW w:w="461" w:type="pct"/>
            <w:gridSpan w:val="2"/>
            <w:tcBorders>
              <w:top w:val="single" w:sz="4" w:space="0" w:color="auto"/>
              <w:left w:val="nil"/>
              <w:bottom w:val="single" w:sz="4" w:space="0" w:color="auto"/>
              <w:right w:val="single" w:sz="4" w:space="0" w:color="auto"/>
            </w:tcBorders>
            <w:shd w:val="clear" w:color="auto" w:fill="auto"/>
            <w:vAlign w:val="bottom"/>
          </w:tcPr>
          <w:p w:rsidR="007F6647" w:rsidRDefault="007F6647" w:rsidP="007F6647">
            <w:pPr>
              <w:jc w:val="right"/>
            </w:pPr>
            <w:r w:rsidRPr="00223752">
              <w:rPr>
                <w:bCs/>
                <w:color w:val="000000"/>
                <w:sz w:val="18"/>
                <w:szCs w:val="18"/>
              </w:rPr>
              <w:t>-255</w:t>
            </w:r>
          </w:p>
        </w:tc>
        <w:tc>
          <w:tcPr>
            <w:tcW w:w="462" w:type="pct"/>
            <w:tcBorders>
              <w:top w:val="single" w:sz="4" w:space="0" w:color="auto"/>
              <w:left w:val="nil"/>
              <w:bottom w:val="single" w:sz="4" w:space="0" w:color="auto"/>
              <w:right w:val="nil"/>
            </w:tcBorders>
            <w:shd w:val="clear" w:color="auto" w:fill="auto"/>
            <w:vAlign w:val="bottom"/>
          </w:tcPr>
          <w:p w:rsidR="007F6647" w:rsidRPr="002E1C43" w:rsidRDefault="007F6647" w:rsidP="007F6647">
            <w:pPr>
              <w:widowControl/>
              <w:autoSpaceDE/>
              <w:autoSpaceDN/>
              <w:adjustRightInd/>
              <w:jc w:val="right"/>
              <w:rPr>
                <w:bCs/>
                <w:color w:val="000000"/>
                <w:sz w:val="18"/>
                <w:szCs w:val="18"/>
              </w:rPr>
            </w:pPr>
            <w:r w:rsidRPr="002E1C43">
              <w:rPr>
                <w:bCs/>
                <w:color w:val="000000"/>
                <w:sz w:val="18"/>
                <w:szCs w:val="18"/>
              </w:rPr>
              <w:t>-</w:t>
            </w:r>
          </w:p>
        </w:tc>
      </w:tr>
    </w:tbl>
    <w:p w:rsidR="007F6647" w:rsidRPr="004E3E08" w:rsidRDefault="007F6647" w:rsidP="00733C9F">
      <w:pPr>
        <w:rPr>
          <w:sz w:val="16"/>
          <w:szCs w:val="16"/>
        </w:rPr>
      </w:pPr>
      <w:proofErr w:type="spellStart"/>
      <w:r w:rsidRPr="004E3E08">
        <w:rPr>
          <w:sz w:val="16"/>
          <w:szCs w:val="16"/>
        </w:rPr>
        <w:t>Anm</w:t>
      </w:r>
      <w:proofErr w:type="spellEnd"/>
      <w:r w:rsidRPr="004E3E08">
        <w:rPr>
          <w:sz w:val="16"/>
          <w:szCs w:val="16"/>
        </w:rPr>
        <w:t>: Det er beregningsteknisk forudsat, at adfærdseffekten har fuld effekt i 2015.</w:t>
      </w:r>
      <w:r>
        <w:rPr>
          <w:sz w:val="16"/>
          <w:szCs w:val="16"/>
        </w:rPr>
        <w:t xml:space="preserve"> Desuden er forudsat en tilbageløbsprocent på 15 pct., hvilket er noget lavere end normalt, idet en del af personkredsens forbrug forudsættes at foregå i udlandet. I finans</w:t>
      </w:r>
      <w:r w:rsidR="00733C9F">
        <w:rPr>
          <w:sz w:val="16"/>
          <w:szCs w:val="16"/>
        </w:rPr>
        <w:t>års</w:t>
      </w:r>
      <w:r>
        <w:rPr>
          <w:sz w:val="16"/>
          <w:szCs w:val="16"/>
        </w:rPr>
        <w:t xml:space="preserve">virkningen er indregnet de adfærdsmæssige konsekvenser (eksklusiv afledte effekter på moms og afgifter). </w:t>
      </w:r>
    </w:p>
    <w:p w:rsidR="007F6647" w:rsidRDefault="007F6647" w:rsidP="007F6647">
      <w:pPr>
        <w:spacing w:line="288" w:lineRule="auto"/>
        <w:jc w:val="both"/>
        <w:rPr>
          <w:sz w:val="24"/>
        </w:rPr>
      </w:pPr>
    </w:p>
    <w:p w:rsidR="007F6647" w:rsidRDefault="007F6647" w:rsidP="007F6647">
      <w:pPr>
        <w:spacing w:line="288" w:lineRule="auto"/>
        <w:jc w:val="both"/>
        <w:rPr>
          <w:sz w:val="24"/>
        </w:rPr>
      </w:pPr>
      <w:r w:rsidRPr="00392EC5">
        <w:rPr>
          <w:sz w:val="24"/>
        </w:rPr>
        <w:t>I provenuskønnet er der forudsat, at der sker øget anve</w:t>
      </w:r>
      <w:r>
        <w:rPr>
          <w:sz w:val="24"/>
        </w:rPr>
        <w:t>ndelse af forskerskatteordningen</w:t>
      </w:r>
      <w:r w:rsidRPr="00392EC5">
        <w:rPr>
          <w:sz w:val="24"/>
        </w:rPr>
        <w:t xml:space="preserve"> fra to forskellige personkredse.  Den </w:t>
      </w:r>
      <w:r w:rsidRPr="007F6647">
        <w:rPr>
          <w:i/>
          <w:sz w:val="24"/>
        </w:rPr>
        <w:t>ene</w:t>
      </w:r>
      <w:r w:rsidRPr="007F6647">
        <w:rPr>
          <w:sz w:val="24"/>
        </w:rPr>
        <w:t xml:space="preserve"> </w:t>
      </w:r>
      <w:r w:rsidRPr="00392EC5">
        <w:rPr>
          <w:sz w:val="24"/>
        </w:rPr>
        <w:t xml:space="preserve">kreds omfatter personer, der beskattes efter de almindelige skatteregler og under alle omstændigheder ville være kommet til Danmark, uanset </w:t>
      </w:r>
      <w:r>
        <w:rPr>
          <w:sz w:val="24"/>
        </w:rPr>
        <w:t xml:space="preserve">nedsættelsen af </w:t>
      </w:r>
      <w:r w:rsidRPr="00392EC5">
        <w:rPr>
          <w:sz w:val="24"/>
        </w:rPr>
        <w:t>vederlagskrav</w:t>
      </w:r>
      <w:r>
        <w:rPr>
          <w:sz w:val="24"/>
        </w:rPr>
        <w:t>et</w:t>
      </w:r>
      <w:r w:rsidRPr="00392EC5">
        <w:rPr>
          <w:sz w:val="24"/>
        </w:rPr>
        <w:t xml:space="preserve">. Antalsmæssigt er det forudsat, at </w:t>
      </w:r>
      <w:r>
        <w:rPr>
          <w:sz w:val="24"/>
        </w:rPr>
        <w:t>denne personkreds</w:t>
      </w:r>
      <w:r w:rsidRPr="00392EC5">
        <w:rPr>
          <w:sz w:val="24"/>
        </w:rPr>
        <w:t xml:space="preserve"> svarer til de personer, der i dag arbejder i Danmark og opfylder </w:t>
      </w:r>
      <w:r w:rsidRPr="00104BE1">
        <w:rPr>
          <w:sz w:val="24"/>
        </w:rPr>
        <w:t>de gældende adgangskrav for anvendelse af forskerskatteordningen</w:t>
      </w:r>
      <w:r>
        <w:rPr>
          <w:sz w:val="24"/>
        </w:rPr>
        <w:t xml:space="preserve"> med undtagelse af </w:t>
      </w:r>
      <w:r w:rsidRPr="00392EC5">
        <w:rPr>
          <w:sz w:val="24"/>
        </w:rPr>
        <w:t xml:space="preserve">det </w:t>
      </w:r>
      <w:r>
        <w:rPr>
          <w:sz w:val="24"/>
        </w:rPr>
        <w:t xml:space="preserve">nugældende </w:t>
      </w:r>
      <w:r w:rsidRPr="00392EC5">
        <w:rPr>
          <w:sz w:val="24"/>
        </w:rPr>
        <w:t>vederlagskrav</w:t>
      </w:r>
      <w:r>
        <w:rPr>
          <w:sz w:val="24"/>
        </w:rPr>
        <w:t xml:space="preserve"> på 70.600 kr. pr</w:t>
      </w:r>
      <w:r w:rsidRPr="00392EC5">
        <w:rPr>
          <w:sz w:val="24"/>
        </w:rPr>
        <w:t>.</w:t>
      </w:r>
      <w:r>
        <w:rPr>
          <w:sz w:val="24"/>
        </w:rPr>
        <w:t xml:space="preserve"> måned.</w:t>
      </w:r>
      <w:r w:rsidRPr="00392EC5">
        <w:rPr>
          <w:sz w:val="24"/>
        </w:rPr>
        <w:t xml:space="preserve"> Den </w:t>
      </w:r>
      <w:r w:rsidRPr="007F6647">
        <w:rPr>
          <w:i/>
          <w:sz w:val="24"/>
        </w:rPr>
        <w:t>anden</w:t>
      </w:r>
      <w:r w:rsidRPr="00392EC5">
        <w:rPr>
          <w:sz w:val="24"/>
        </w:rPr>
        <w:t xml:space="preserve"> kreds er personer, som udelukkende kommer til landet</w:t>
      </w:r>
      <w:r>
        <w:rPr>
          <w:sz w:val="24"/>
        </w:rPr>
        <w:t>,</w:t>
      </w:r>
      <w:r w:rsidRPr="00392EC5">
        <w:rPr>
          <w:sz w:val="24"/>
        </w:rPr>
        <w:t xml:space="preserve"> fordi nedsættelsen </w:t>
      </w:r>
      <w:r>
        <w:rPr>
          <w:sz w:val="24"/>
        </w:rPr>
        <w:t xml:space="preserve">af </w:t>
      </w:r>
      <w:r w:rsidRPr="00392EC5">
        <w:rPr>
          <w:sz w:val="24"/>
        </w:rPr>
        <w:t xml:space="preserve">vederlagskravet </w:t>
      </w:r>
      <w:r>
        <w:rPr>
          <w:sz w:val="24"/>
        </w:rPr>
        <w:t xml:space="preserve">gør det mere </w:t>
      </w:r>
      <w:r w:rsidRPr="005D121C">
        <w:rPr>
          <w:sz w:val="24"/>
        </w:rPr>
        <w:t>attraktivt for udlændi</w:t>
      </w:r>
      <w:r w:rsidR="00B635BD">
        <w:rPr>
          <w:sz w:val="24"/>
        </w:rPr>
        <w:t>n</w:t>
      </w:r>
      <w:r w:rsidRPr="005D121C">
        <w:rPr>
          <w:sz w:val="24"/>
        </w:rPr>
        <w:t>ge at udbyde deres arbejdskraft</w:t>
      </w:r>
      <w:r>
        <w:rPr>
          <w:sz w:val="24"/>
        </w:rPr>
        <w:t xml:space="preserve"> i Danmark. Denne personkreds øger dermed det samlede arbejdsudbud i Danmark og skatteindtægterne.</w:t>
      </w:r>
    </w:p>
    <w:p w:rsidR="007F6647" w:rsidRDefault="007F6647" w:rsidP="007F6647">
      <w:pPr>
        <w:spacing w:line="288" w:lineRule="auto"/>
        <w:jc w:val="both"/>
        <w:rPr>
          <w:sz w:val="24"/>
        </w:rPr>
      </w:pPr>
    </w:p>
    <w:p w:rsidR="00C12DA7" w:rsidRDefault="007F6647" w:rsidP="00C12DA7">
      <w:pPr>
        <w:spacing w:line="288" w:lineRule="auto"/>
        <w:jc w:val="both"/>
        <w:rPr>
          <w:sz w:val="24"/>
        </w:rPr>
      </w:pPr>
      <w:r w:rsidRPr="00104BE1">
        <w:rPr>
          <w:sz w:val="24"/>
        </w:rPr>
        <w:t>Der findes ikke umiddelbart tal for den personkreds, der</w:t>
      </w:r>
      <w:r w:rsidRPr="00392EC5">
        <w:rPr>
          <w:sz w:val="24"/>
        </w:rPr>
        <w:t xml:space="preserve"> beskattes efter de almindelige skatteregler og under alle omstændigheder ville være kommet til Danmark. </w:t>
      </w:r>
      <w:r w:rsidRPr="00104BE1">
        <w:rPr>
          <w:sz w:val="24"/>
        </w:rPr>
        <w:t xml:space="preserve"> Derfor </w:t>
      </w:r>
      <w:r>
        <w:rPr>
          <w:sz w:val="24"/>
        </w:rPr>
        <w:t>er</w:t>
      </w:r>
      <w:r w:rsidRPr="00104BE1">
        <w:rPr>
          <w:sz w:val="24"/>
        </w:rPr>
        <w:t xml:space="preserve"> </w:t>
      </w:r>
      <w:r w:rsidR="00733C9F">
        <w:rPr>
          <w:sz w:val="24"/>
        </w:rPr>
        <w:lastRenderedPageBreak/>
        <w:t>provenu</w:t>
      </w:r>
      <w:r w:rsidRPr="00104BE1">
        <w:rPr>
          <w:sz w:val="24"/>
        </w:rPr>
        <w:t>skøn</w:t>
      </w:r>
      <w:r>
        <w:rPr>
          <w:sz w:val="24"/>
        </w:rPr>
        <w:t xml:space="preserve">net </w:t>
      </w:r>
      <w:r w:rsidRPr="00104BE1">
        <w:rPr>
          <w:sz w:val="24"/>
        </w:rPr>
        <w:t xml:space="preserve">forbundet med stor usikkerhed. </w:t>
      </w:r>
      <w:r w:rsidRPr="004044C6">
        <w:rPr>
          <w:sz w:val="24"/>
        </w:rPr>
        <w:t>Forudsættes det imidlertid, at en nedsættelse af vederlagskravet med 10.000 kr. (2014-niveau) vil medføre, at ca. 2.500 personer fremover vil kunne blive omfattet af forskerskatteordningen fremfor</w:t>
      </w:r>
      <w:r>
        <w:rPr>
          <w:sz w:val="24"/>
        </w:rPr>
        <w:t xml:space="preserve"> at blive beskattet</w:t>
      </w:r>
      <w:r w:rsidRPr="004044C6">
        <w:rPr>
          <w:sz w:val="24"/>
        </w:rPr>
        <w:t xml:space="preserve"> efter de almindelige skatteregler</w:t>
      </w:r>
      <w:r>
        <w:rPr>
          <w:sz w:val="24"/>
        </w:rPr>
        <w:t xml:space="preserve">, </w:t>
      </w:r>
      <w:r w:rsidRPr="004044C6">
        <w:rPr>
          <w:sz w:val="24"/>
        </w:rPr>
        <w:t xml:space="preserve">skønnes det umiddelbare </w:t>
      </w:r>
      <w:proofErr w:type="spellStart"/>
      <w:r w:rsidRPr="004044C6">
        <w:rPr>
          <w:sz w:val="24"/>
        </w:rPr>
        <w:t>mindreprovenu</w:t>
      </w:r>
      <w:proofErr w:type="spellEnd"/>
      <w:r w:rsidRPr="004044C6">
        <w:rPr>
          <w:sz w:val="24"/>
        </w:rPr>
        <w:t xml:space="preserve"> at udgøre ca. 255 mio. kr. </w:t>
      </w:r>
      <w:r w:rsidR="00E026D1">
        <w:rPr>
          <w:sz w:val="24"/>
        </w:rPr>
        <w:t xml:space="preserve">årligt. </w:t>
      </w:r>
      <w:r w:rsidRPr="004044C6">
        <w:rPr>
          <w:sz w:val="24"/>
        </w:rPr>
        <w:t>Efter til</w:t>
      </w:r>
      <w:r>
        <w:rPr>
          <w:sz w:val="24"/>
        </w:rPr>
        <w:t>bageløb</w:t>
      </w:r>
      <w:r w:rsidRPr="004044C6">
        <w:rPr>
          <w:sz w:val="24"/>
        </w:rPr>
        <w:t xml:space="preserve"> skønnes </w:t>
      </w:r>
      <w:proofErr w:type="spellStart"/>
      <w:r w:rsidRPr="004044C6">
        <w:rPr>
          <w:sz w:val="24"/>
        </w:rPr>
        <w:t>mindreprove</w:t>
      </w:r>
      <w:r>
        <w:rPr>
          <w:sz w:val="24"/>
        </w:rPr>
        <w:t>nuet</w:t>
      </w:r>
      <w:proofErr w:type="spellEnd"/>
      <w:r>
        <w:rPr>
          <w:sz w:val="24"/>
        </w:rPr>
        <w:t xml:space="preserve"> at udgøre ca. 215 mio. kr. årligt.</w:t>
      </w:r>
    </w:p>
    <w:p w:rsidR="00C12DA7" w:rsidRDefault="00C12DA7" w:rsidP="00C12DA7">
      <w:pPr>
        <w:spacing w:line="288" w:lineRule="auto"/>
        <w:jc w:val="both"/>
        <w:rPr>
          <w:sz w:val="24"/>
        </w:rPr>
      </w:pPr>
    </w:p>
    <w:p w:rsidR="00C12DA7" w:rsidRPr="00C12DA7" w:rsidRDefault="00C12DA7" w:rsidP="00C12DA7">
      <w:pPr>
        <w:spacing w:line="288" w:lineRule="auto"/>
        <w:jc w:val="both"/>
      </w:pPr>
      <w:r w:rsidRPr="00C12DA7">
        <w:rPr>
          <w:bCs/>
          <w:sz w:val="24"/>
        </w:rPr>
        <w:t xml:space="preserve">Nedsættelsen af vederlagskravet vil umiddelbart indebære, at det bliver mere attraktivt for personer med indkomst mellem den nuværende og den nye vederlagsgrænse at komme til Danmark for at arbejde, ligesom det vil blive lettere for danske virksomheder at rekruttere udenlandsk arbejdskraft. Dermed vil det samlede arbejdsudbud stige. </w:t>
      </w:r>
      <w:r w:rsidRPr="00C12DA7">
        <w:rPr>
          <w:sz w:val="24"/>
        </w:rPr>
        <w:t xml:space="preserve">Det skønnes med stor usikkerhed, at nedsættelsen af vederlagskravet vil kunne tiltrække ca. 550 nye personer med samlet skattebetaling på ca. 180 mio. kr. (inkl. moms og afgifter). Samlet set skønnes lovforslaget efter tilbageløb og adfærd således at medføre et årligt </w:t>
      </w:r>
      <w:proofErr w:type="spellStart"/>
      <w:r w:rsidRPr="00C12DA7">
        <w:rPr>
          <w:sz w:val="24"/>
        </w:rPr>
        <w:t>mindreprovenu</w:t>
      </w:r>
      <w:proofErr w:type="spellEnd"/>
      <w:r w:rsidRPr="00C12DA7">
        <w:rPr>
          <w:sz w:val="24"/>
        </w:rPr>
        <w:t xml:space="preserve"> på ca. 35 mio. kr. fra 2015.</w:t>
      </w:r>
    </w:p>
    <w:p w:rsidR="007F6647" w:rsidRPr="00C12DA7" w:rsidRDefault="007F6647" w:rsidP="007F6647">
      <w:pPr>
        <w:spacing w:line="288" w:lineRule="auto"/>
        <w:jc w:val="both"/>
        <w:rPr>
          <w:sz w:val="24"/>
        </w:rPr>
      </w:pPr>
    </w:p>
    <w:p w:rsidR="007F6647" w:rsidRDefault="00380DC3" w:rsidP="00F71571">
      <w:pPr>
        <w:spacing w:line="288" w:lineRule="auto"/>
        <w:jc w:val="both"/>
        <w:rPr>
          <w:sz w:val="24"/>
        </w:rPr>
      </w:pPr>
      <w:r>
        <w:rPr>
          <w:sz w:val="24"/>
        </w:rPr>
        <w:t>A</w:t>
      </w:r>
      <w:r w:rsidR="007F6647">
        <w:rPr>
          <w:sz w:val="24"/>
        </w:rPr>
        <w:t>t flere fremover vil kunne blive omfattet af forskerskatteordningen</w:t>
      </w:r>
      <w:r>
        <w:rPr>
          <w:sz w:val="24"/>
        </w:rPr>
        <w:t xml:space="preserve"> medfører to modsatrettede provenueffekter. P</w:t>
      </w:r>
      <w:r w:rsidR="007F6647">
        <w:rPr>
          <w:sz w:val="24"/>
        </w:rPr>
        <w:t xml:space="preserve">å den </w:t>
      </w:r>
      <w:r w:rsidR="007F6647" w:rsidRPr="00F71571">
        <w:rPr>
          <w:i/>
          <w:sz w:val="24"/>
        </w:rPr>
        <w:t>ene</w:t>
      </w:r>
      <w:r w:rsidR="007F6647" w:rsidRPr="00F71571">
        <w:rPr>
          <w:sz w:val="24"/>
        </w:rPr>
        <w:t xml:space="preserve"> </w:t>
      </w:r>
      <w:r w:rsidR="007F6647">
        <w:rPr>
          <w:sz w:val="24"/>
        </w:rPr>
        <w:t xml:space="preserve">side medfører </w:t>
      </w:r>
      <w:r>
        <w:rPr>
          <w:sz w:val="24"/>
        </w:rPr>
        <w:t xml:space="preserve">forslaget </w:t>
      </w:r>
      <w:r w:rsidR="007F6647">
        <w:rPr>
          <w:sz w:val="24"/>
        </w:rPr>
        <w:t xml:space="preserve">faldende indkomstskatter og på den </w:t>
      </w:r>
      <w:r w:rsidR="007F6647" w:rsidRPr="00F71571">
        <w:rPr>
          <w:i/>
          <w:sz w:val="24"/>
        </w:rPr>
        <w:t>anden</w:t>
      </w:r>
      <w:r w:rsidR="007F6647">
        <w:rPr>
          <w:sz w:val="24"/>
        </w:rPr>
        <w:t xml:space="preserve"> side øgede indtægter fra forskerskatten. Da den kommunale andel af de indkomstskatter, som bortfalder ved forslaget, er noget større end kommunernes andel af forskerskatten, der udgør 1/3 af provenuet, skønnes lovforslaget at medføre et </w:t>
      </w:r>
      <w:r w:rsidR="00F71571">
        <w:rPr>
          <w:sz w:val="24"/>
        </w:rPr>
        <w:t xml:space="preserve">samlet </w:t>
      </w:r>
      <w:proofErr w:type="spellStart"/>
      <w:r w:rsidR="007F6647">
        <w:rPr>
          <w:sz w:val="24"/>
        </w:rPr>
        <w:t>mindreprovenu</w:t>
      </w:r>
      <w:proofErr w:type="spellEnd"/>
      <w:r w:rsidR="007F6647">
        <w:rPr>
          <w:sz w:val="24"/>
        </w:rPr>
        <w:t xml:space="preserve"> for kommunerne på ca. 255 mio. kr. årligt</w:t>
      </w:r>
      <w:r w:rsidR="007F6647" w:rsidRPr="00F71571">
        <w:rPr>
          <w:sz w:val="24"/>
        </w:rPr>
        <w:t xml:space="preserve">, </w:t>
      </w:r>
      <w:r w:rsidR="007F6647" w:rsidRPr="00F71571">
        <w:rPr>
          <w:i/>
          <w:sz w:val="24"/>
        </w:rPr>
        <w:t>jf. tabel 1</w:t>
      </w:r>
      <w:r w:rsidR="007F6647">
        <w:rPr>
          <w:sz w:val="24"/>
        </w:rPr>
        <w:t xml:space="preserve">. De </w:t>
      </w:r>
      <w:r w:rsidR="00F71571">
        <w:rPr>
          <w:sz w:val="24"/>
        </w:rPr>
        <w:t xml:space="preserve">faldende indkomstskatter skønnes at udgøre </w:t>
      </w:r>
      <w:r w:rsidR="007F6647">
        <w:rPr>
          <w:sz w:val="24"/>
        </w:rPr>
        <w:t>ca. 455 mio. kr.</w:t>
      </w:r>
      <w:r w:rsidR="00F71571">
        <w:rPr>
          <w:sz w:val="24"/>
        </w:rPr>
        <w:t xml:space="preserve">, mens </w:t>
      </w:r>
      <w:r w:rsidR="007F6647">
        <w:rPr>
          <w:sz w:val="24"/>
        </w:rPr>
        <w:t>merprovenu</w:t>
      </w:r>
      <w:r w:rsidR="00F71571">
        <w:rPr>
          <w:sz w:val="24"/>
        </w:rPr>
        <w:t>et</w:t>
      </w:r>
      <w:r w:rsidR="007F6647">
        <w:rPr>
          <w:sz w:val="24"/>
        </w:rPr>
        <w:t xml:space="preserve"> fra den kommunale andel af forskerskatten </w:t>
      </w:r>
      <w:r w:rsidR="00F71571">
        <w:rPr>
          <w:sz w:val="24"/>
        </w:rPr>
        <w:t xml:space="preserve">skønnes at udgøre </w:t>
      </w:r>
      <w:r w:rsidR="007F6647">
        <w:rPr>
          <w:sz w:val="24"/>
        </w:rPr>
        <w:t xml:space="preserve">ca. 200 mio. kr. Det bemærkes, at der </w:t>
      </w:r>
      <w:r>
        <w:rPr>
          <w:sz w:val="24"/>
        </w:rPr>
        <w:t xml:space="preserve">i </w:t>
      </w:r>
      <w:r w:rsidR="007F6647">
        <w:rPr>
          <w:sz w:val="24"/>
        </w:rPr>
        <w:t>skønnet indgår øge</w:t>
      </w:r>
      <w:r w:rsidR="0013636B">
        <w:rPr>
          <w:sz w:val="24"/>
        </w:rPr>
        <w:t>de indtægter fra forskerskatten</w:t>
      </w:r>
      <w:r w:rsidR="007F6647">
        <w:rPr>
          <w:sz w:val="24"/>
        </w:rPr>
        <w:t xml:space="preserve"> som følge af </w:t>
      </w:r>
      <w:r>
        <w:rPr>
          <w:sz w:val="24"/>
        </w:rPr>
        <w:t xml:space="preserve">øget </w:t>
      </w:r>
      <w:r w:rsidR="007F6647">
        <w:rPr>
          <w:sz w:val="24"/>
        </w:rPr>
        <w:t>arbejdsudbud</w:t>
      </w:r>
      <w:r w:rsidR="007F6647" w:rsidRPr="002A4022">
        <w:rPr>
          <w:i/>
          <w:sz w:val="24"/>
        </w:rPr>
        <w:t xml:space="preserve">, </w:t>
      </w:r>
      <w:r w:rsidR="007F6647" w:rsidRPr="00333578">
        <w:rPr>
          <w:sz w:val="24"/>
        </w:rPr>
        <w:t>jf. ovenfor.</w:t>
      </w:r>
      <w:r w:rsidR="007F6647">
        <w:rPr>
          <w:sz w:val="24"/>
        </w:rPr>
        <w:t xml:space="preserve"> </w:t>
      </w:r>
    </w:p>
    <w:p w:rsidR="00F12549" w:rsidRDefault="00F12549" w:rsidP="00F71571">
      <w:pPr>
        <w:spacing w:line="288" w:lineRule="auto"/>
        <w:jc w:val="both"/>
        <w:rPr>
          <w:sz w:val="24"/>
        </w:rPr>
      </w:pPr>
    </w:p>
    <w:p w:rsidR="00BB690A" w:rsidRDefault="00BB690A" w:rsidP="00BF163E">
      <w:pPr>
        <w:spacing w:line="288" w:lineRule="auto"/>
        <w:jc w:val="both"/>
        <w:rPr>
          <w:iCs/>
          <w:sz w:val="24"/>
        </w:rPr>
      </w:pPr>
      <w:r w:rsidRPr="0015158C">
        <w:rPr>
          <w:iCs/>
          <w:sz w:val="24"/>
        </w:rPr>
        <w:t xml:space="preserve">Forslaget får </w:t>
      </w:r>
      <w:r w:rsidR="00765032">
        <w:rPr>
          <w:iCs/>
          <w:sz w:val="24"/>
        </w:rPr>
        <w:t>i</w:t>
      </w:r>
      <w:r w:rsidRPr="0015158C">
        <w:rPr>
          <w:iCs/>
          <w:sz w:val="24"/>
        </w:rPr>
        <w:t>ngen umi</w:t>
      </w:r>
      <w:r>
        <w:rPr>
          <w:iCs/>
          <w:sz w:val="24"/>
        </w:rPr>
        <w:t>ddelbare økonomiske virkninger</w:t>
      </w:r>
      <w:r w:rsidRPr="0015158C">
        <w:rPr>
          <w:iCs/>
          <w:sz w:val="24"/>
        </w:rPr>
        <w:t xml:space="preserve"> for kommunerne for indkomståret 2015</w:t>
      </w:r>
      <w:r>
        <w:rPr>
          <w:iCs/>
          <w:sz w:val="24"/>
        </w:rPr>
        <w:t xml:space="preserve">, da det </w:t>
      </w:r>
      <w:r w:rsidRPr="0015158C">
        <w:rPr>
          <w:iCs/>
          <w:sz w:val="24"/>
        </w:rPr>
        <w:t>af tidsmæssige grunde ikke har været muligt at indarbejde virkningen af forslaget i det stats</w:t>
      </w:r>
      <w:r w:rsidRPr="0015158C">
        <w:rPr>
          <w:iCs/>
          <w:sz w:val="24"/>
        </w:rPr>
        <w:softHyphen/>
        <w:t xml:space="preserve">garanterede udskrivningsgrundlag for 2015. </w:t>
      </w:r>
      <w:r w:rsidR="00765032">
        <w:rPr>
          <w:iCs/>
          <w:sz w:val="24"/>
        </w:rPr>
        <w:t>I den forbindelse vil der, f</w:t>
      </w:r>
      <w:r w:rsidR="00380DC3">
        <w:rPr>
          <w:iCs/>
          <w:sz w:val="24"/>
        </w:rPr>
        <w:t xml:space="preserve">or </w:t>
      </w:r>
      <w:r w:rsidR="000D5CA2">
        <w:rPr>
          <w:iCs/>
          <w:sz w:val="24"/>
        </w:rPr>
        <w:t>s</w:t>
      </w:r>
      <w:r w:rsidR="00380DC3">
        <w:rPr>
          <w:iCs/>
          <w:sz w:val="24"/>
        </w:rPr>
        <w:t>å vidt angår</w:t>
      </w:r>
      <w:r w:rsidR="000D5CA2">
        <w:rPr>
          <w:iCs/>
          <w:sz w:val="24"/>
        </w:rPr>
        <w:t xml:space="preserve"> indkomstskatterne for </w:t>
      </w:r>
      <w:r w:rsidRPr="0015158C">
        <w:rPr>
          <w:iCs/>
          <w:sz w:val="24"/>
        </w:rPr>
        <w:t>de kommuner, der vælger at selvbudgettere deres udskrivningsgrundlag i 2015</w:t>
      </w:r>
      <w:r w:rsidR="00380DC3">
        <w:rPr>
          <w:iCs/>
          <w:sz w:val="24"/>
        </w:rPr>
        <w:t>,</w:t>
      </w:r>
      <w:r w:rsidRPr="0015158C">
        <w:rPr>
          <w:iCs/>
          <w:sz w:val="24"/>
        </w:rPr>
        <w:t xml:space="preserve"> ske en neutralisering af lovforslagets virkning i forbindelse med afregningen </w:t>
      </w:r>
      <w:r>
        <w:rPr>
          <w:iCs/>
          <w:sz w:val="24"/>
        </w:rPr>
        <w:t xml:space="preserve">af de kommunale skatter </w:t>
      </w:r>
      <w:r w:rsidRPr="0015158C">
        <w:rPr>
          <w:iCs/>
          <w:sz w:val="24"/>
        </w:rPr>
        <w:t>vedrørende indkomståret 2015 i</w:t>
      </w:r>
      <w:r>
        <w:rPr>
          <w:iCs/>
          <w:sz w:val="24"/>
        </w:rPr>
        <w:t xml:space="preserve"> 2018. </w:t>
      </w:r>
      <w:r w:rsidR="00197D76">
        <w:rPr>
          <w:iCs/>
          <w:sz w:val="24"/>
        </w:rPr>
        <w:t>Der vil ikke ske justeringer af</w:t>
      </w:r>
      <w:r w:rsidR="0013636B">
        <w:rPr>
          <w:iCs/>
          <w:sz w:val="24"/>
        </w:rPr>
        <w:t xml:space="preserve"> den særskilte afregning</w:t>
      </w:r>
      <w:r w:rsidR="00197D76">
        <w:rPr>
          <w:iCs/>
          <w:sz w:val="24"/>
        </w:rPr>
        <w:t xml:space="preserve"> af den kommunale andel af forskerskatten for indkomståret 2015, idet afregningen først sker i november 2016. </w:t>
      </w:r>
    </w:p>
    <w:p w:rsidR="00BB690A" w:rsidRDefault="00BB690A" w:rsidP="00600AAC">
      <w:pPr>
        <w:spacing w:line="288" w:lineRule="auto"/>
        <w:rPr>
          <w:iCs/>
          <w:sz w:val="24"/>
        </w:rPr>
      </w:pPr>
    </w:p>
    <w:p w:rsidR="00380DC3" w:rsidRDefault="00380DC3" w:rsidP="00380DC3">
      <w:pPr>
        <w:spacing w:line="288" w:lineRule="auto"/>
        <w:jc w:val="both"/>
        <w:rPr>
          <w:sz w:val="24"/>
        </w:rPr>
      </w:pPr>
      <w:r>
        <w:rPr>
          <w:sz w:val="24"/>
        </w:rPr>
        <w:t xml:space="preserve">Lovforslaget har ingen provenumæssige konsekvenser for regionerne. </w:t>
      </w:r>
    </w:p>
    <w:p w:rsidR="00380DC3" w:rsidRDefault="00380DC3" w:rsidP="00380DC3">
      <w:pPr>
        <w:spacing w:line="288" w:lineRule="auto"/>
        <w:jc w:val="both"/>
        <w:rPr>
          <w:sz w:val="24"/>
        </w:rPr>
      </w:pPr>
    </w:p>
    <w:p w:rsidR="004D093C" w:rsidRDefault="004D093C" w:rsidP="00600AAC">
      <w:pPr>
        <w:spacing w:line="288" w:lineRule="auto"/>
        <w:rPr>
          <w:iCs/>
          <w:sz w:val="24"/>
        </w:rPr>
      </w:pPr>
      <w:r>
        <w:rPr>
          <w:iCs/>
          <w:sz w:val="24"/>
        </w:rPr>
        <w:t xml:space="preserve">For finansåret 2015 skønnes forslaget at medføre et </w:t>
      </w:r>
      <w:proofErr w:type="spellStart"/>
      <w:r>
        <w:rPr>
          <w:iCs/>
          <w:sz w:val="24"/>
        </w:rPr>
        <w:t>mindreprovenu</w:t>
      </w:r>
      <w:proofErr w:type="spellEnd"/>
      <w:r>
        <w:rPr>
          <w:iCs/>
          <w:sz w:val="24"/>
        </w:rPr>
        <w:t xml:space="preserve"> på ca. </w:t>
      </w:r>
      <w:r w:rsidR="00743EC4">
        <w:rPr>
          <w:iCs/>
          <w:sz w:val="24"/>
        </w:rPr>
        <w:t>120</w:t>
      </w:r>
      <w:r>
        <w:rPr>
          <w:iCs/>
          <w:sz w:val="24"/>
        </w:rPr>
        <w:t xml:space="preserve"> mio. kr.</w:t>
      </w:r>
    </w:p>
    <w:p w:rsidR="00677212" w:rsidRDefault="00677212" w:rsidP="00600AAC">
      <w:pPr>
        <w:spacing w:line="288" w:lineRule="auto"/>
        <w:jc w:val="both"/>
        <w:rPr>
          <w:sz w:val="24"/>
        </w:rPr>
      </w:pPr>
    </w:p>
    <w:p w:rsidR="00260AC7" w:rsidRDefault="00F71571" w:rsidP="00B80C52">
      <w:pPr>
        <w:spacing w:line="288" w:lineRule="auto"/>
        <w:jc w:val="both"/>
        <w:rPr>
          <w:sz w:val="24"/>
        </w:rPr>
      </w:pPr>
      <w:r>
        <w:rPr>
          <w:sz w:val="24"/>
        </w:rPr>
        <w:t>Personer på forskerskatteordningen er omfattet af særlige gunstige skatteregler. Derfor betragtes skatteregler</w:t>
      </w:r>
      <w:r w:rsidR="00AB54FC">
        <w:rPr>
          <w:sz w:val="24"/>
        </w:rPr>
        <w:t>ne</w:t>
      </w:r>
      <w:r w:rsidR="00403CD5">
        <w:rPr>
          <w:sz w:val="24"/>
        </w:rPr>
        <w:t xml:space="preserve"> knyttet til forskerskatteordningen</w:t>
      </w:r>
      <w:r>
        <w:rPr>
          <w:sz w:val="24"/>
        </w:rPr>
        <w:t xml:space="preserve"> som en skatteudgift. Med forslaget </w:t>
      </w:r>
      <w:r w:rsidR="00186A5F">
        <w:rPr>
          <w:sz w:val="24"/>
        </w:rPr>
        <w:lastRenderedPageBreak/>
        <w:t xml:space="preserve">skønnes </w:t>
      </w:r>
      <w:r w:rsidR="008C4274">
        <w:rPr>
          <w:sz w:val="24"/>
        </w:rPr>
        <w:t xml:space="preserve">den eksisterende </w:t>
      </w:r>
      <w:r>
        <w:rPr>
          <w:sz w:val="24"/>
        </w:rPr>
        <w:t>skatteu</w:t>
      </w:r>
      <w:r w:rsidR="008C4274">
        <w:rPr>
          <w:sz w:val="24"/>
        </w:rPr>
        <w:t>dgift</w:t>
      </w:r>
      <w:r w:rsidR="00AB54FC">
        <w:rPr>
          <w:sz w:val="24"/>
        </w:rPr>
        <w:t xml:space="preserve"> på området</w:t>
      </w:r>
      <w:r w:rsidR="00186A5F">
        <w:rPr>
          <w:sz w:val="24"/>
        </w:rPr>
        <w:t xml:space="preserve"> at blive forøget</w:t>
      </w:r>
      <w:r>
        <w:rPr>
          <w:sz w:val="24"/>
        </w:rPr>
        <w:t xml:space="preserve">, svarende til </w:t>
      </w:r>
      <w:r w:rsidR="00260AC7">
        <w:rPr>
          <w:sz w:val="24"/>
        </w:rPr>
        <w:t>ca. 300 mio. kr. årligt.</w:t>
      </w:r>
    </w:p>
    <w:p w:rsidR="00F71571" w:rsidRPr="00BC172D" w:rsidRDefault="00260AC7" w:rsidP="00600AAC">
      <w:pPr>
        <w:spacing w:line="288" w:lineRule="auto"/>
        <w:rPr>
          <w:sz w:val="24"/>
        </w:rPr>
      </w:pPr>
      <w:r w:rsidRPr="00BC172D">
        <w:rPr>
          <w:sz w:val="24"/>
        </w:rPr>
        <w:t xml:space="preserve"> </w:t>
      </w:r>
    </w:p>
    <w:p w:rsidR="00BE23F6" w:rsidRPr="00BC172D" w:rsidRDefault="003137D8" w:rsidP="00600AAC">
      <w:pPr>
        <w:spacing w:line="288" w:lineRule="auto"/>
        <w:rPr>
          <w:i/>
          <w:iCs/>
          <w:sz w:val="24"/>
        </w:rPr>
      </w:pPr>
      <w:r>
        <w:rPr>
          <w:i/>
          <w:iCs/>
          <w:sz w:val="24"/>
        </w:rPr>
        <w:t>6</w:t>
      </w:r>
      <w:r w:rsidR="00376FD2" w:rsidRPr="00BC172D">
        <w:rPr>
          <w:i/>
          <w:iCs/>
          <w:sz w:val="24"/>
        </w:rPr>
        <w:t xml:space="preserve">. Administrative konsekvenser for det offentlige </w:t>
      </w:r>
    </w:p>
    <w:p w:rsidR="00D152BF" w:rsidRPr="007658B6" w:rsidRDefault="007658B6" w:rsidP="007658B6">
      <w:pPr>
        <w:rPr>
          <w:sz w:val="24"/>
        </w:rPr>
      </w:pPr>
      <w:r w:rsidRPr="007658B6">
        <w:rPr>
          <w:sz w:val="24"/>
        </w:rPr>
        <w:t>Det skønnes, at der vil være engangsomkostninger på 100.000 kr. til systemtilretning</w:t>
      </w:r>
      <w:r w:rsidR="00E457B8">
        <w:rPr>
          <w:sz w:val="24"/>
        </w:rPr>
        <w:t>er</w:t>
      </w:r>
      <w:r w:rsidRPr="007658B6">
        <w:rPr>
          <w:sz w:val="24"/>
        </w:rPr>
        <w:t>.</w:t>
      </w:r>
    </w:p>
    <w:p w:rsidR="00376FD2" w:rsidRPr="00BC172D" w:rsidRDefault="00376FD2" w:rsidP="00600AAC">
      <w:pPr>
        <w:spacing w:line="288" w:lineRule="auto"/>
        <w:rPr>
          <w:sz w:val="24"/>
        </w:rPr>
      </w:pPr>
    </w:p>
    <w:p w:rsidR="00F83A9C" w:rsidRPr="00BC172D" w:rsidRDefault="003137D8" w:rsidP="00600AAC">
      <w:pPr>
        <w:spacing w:line="288" w:lineRule="auto"/>
        <w:rPr>
          <w:i/>
          <w:iCs/>
          <w:sz w:val="24"/>
        </w:rPr>
      </w:pPr>
      <w:r>
        <w:rPr>
          <w:i/>
          <w:iCs/>
          <w:sz w:val="24"/>
        </w:rPr>
        <w:t>7</w:t>
      </w:r>
      <w:r w:rsidR="00376FD2" w:rsidRPr="00BC172D">
        <w:rPr>
          <w:i/>
          <w:iCs/>
          <w:sz w:val="24"/>
        </w:rPr>
        <w:t xml:space="preserve">. Økonomiske konsekvenser for erhvervslivet </w:t>
      </w:r>
    </w:p>
    <w:p w:rsidR="00275F94" w:rsidRPr="00275F94" w:rsidRDefault="00275F94" w:rsidP="00600AAC">
      <w:pPr>
        <w:spacing w:line="288" w:lineRule="auto"/>
        <w:jc w:val="both"/>
        <w:rPr>
          <w:sz w:val="24"/>
        </w:rPr>
      </w:pPr>
      <w:r w:rsidRPr="00275F94">
        <w:rPr>
          <w:sz w:val="24"/>
        </w:rPr>
        <w:t xml:space="preserve">Danske virksomheder konkurrerer med virksomheder i udlandet om at tiltrække højt kvalificeret udenlandsk arbejdskraft. Den højt </w:t>
      </w:r>
      <w:r w:rsidR="006E752A">
        <w:rPr>
          <w:sz w:val="24"/>
        </w:rPr>
        <w:t>kvalificerede</w:t>
      </w:r>
      <w:r w:rsidRPr="00275F94">
        <w:rPr>
          <w:sz w:val="24"/>
        </w:rPr>
        <w:t xml:space="preserve"> arbejdskraft medvirker til, at danske og udenlandske virksomheder kan udvide deres aktiviteter i Danmark. Nedsættelsen af vederlagskravet for nøglemedarbejdere under forskerordningen forbedrer dermed danske virksomheders konkurrenceposition.</w:t>
      </w:r>
    </w:p>
    <w:p w:rsidR="00376FD2" w:rsidRPr="00BC172D" w:rsidRDefault="00376FD2" w:rsidP="00600AAC">
      <w:pPr>
        <w:spacing w:line="288" w:lineRule="auto"/>
        <w:rPr>
          <w:sz w:val="24"/>
        </w:rPr>
      </w:pPr>
    </w:p>
    <w:p w:rsidR="009A51F2" w:rsidRDefault="003137D8" w:rsidP="009A51F2">
      <w:pPr>
        <w:spacing w:line="288" w:lineRule="auto"/>
        <w:rPr>
          <w:i/>
          <w:iCs/>
          <w:sz w:val="24"/>
        </w:rPr>
      </w:pPr>
      <w:r>
        <w:rPr>
          <w:i/>
          <w:iCs/>
          <w:sz w:val="24"/>
        </w:rPr>
        <w:t>8</w:t>
      </w:r>
      <w:r w:rsidR="00376FD2" w:rsidRPr="00BC172D">
        <w:rPr>
          <w:i/>
          <w:iCs/>
          <w:sz w:val="24"/>
        </w:rPr>
        <w:t>. Administrative konsekvenser for erhvervslivet</w:t>
      </w:r>
    </w:p>
    <w:p w:rsidR="009A51F2" w:rsidRPr="007658B6" w:rsidRDefault="009A51F2" w:rsidP="009A51F2">
      <w:pPr>
        <w:spacing w:line="288" w:lineRule="auto"/>
        <w:rPr>
          <w:sz w:val="24"/>
        </w:rPr>
      </w:pPr>
      <w:r w:rsidRPr="007658B6">
        <w:rPr>
          <w:sz w:val="24"/>
        </w:rPr>
        <w:t xml:space="preserve">Lovforslaget </w:t>
      </w:r>
      <w:r w:rsidR="007658B6" w:rsidRPr="007658B6">
        <w:rPr>
          <w:sz w:val="24"/>
        </w:rPr>
        <w:t xml:space="preserve">har ingen </w:t>
      </w:r>
      <w:r w:rsidR="007658B6" w:rsidRPr="007658B6">
        <w:rPr>
          <w:iCs/>
          <w:sz w:val="24"/>
        </w:rPr>
        <w:t>administrative konsekvenser for erhvervslivet</w:t>
      </w:r>
      <w:r w:rsidR="007658B6">
        <w:rPr>
          <w:iCs/>
          <w:sz w:val="24"/>
        </w:rPr>
        <w:t>.</w:t>
      </w:r>
      <w:r w:rsidR="007658B6" w:rsidRPr="007658B6">
        <w:rPr>
          <w:sz w:val="24"/>
        </w:rPr>
        <w:t xml:space="preserve"> </w:t>
      </w:r>
    </w:p>
    <w:p w:rsidR="009A51F2" w:rsidRPr="00BC172D" w:rsidRDefault="009A51F2" w:rsidP="00600AAC">
      <w:pPr>
        <w:spacing w:line="288" w:lineRule="auto"/>
        <w:rPr>
          <w:sz w:val="24"/>
        </w:rPr>
      </w:pPr>
    </w:p>
    <w:p w:rsidR="00376FD2" w:rsidRPr="00BC172D" w:rsidRDefault="003137D8" w:rsidP="00600AAC">
      <w:pPr>
        <w:spacing w:line="288" w:lineRule="auto"/>
        <w:rPr>
          <w:i/>
          <w:iCs/>
          <w:sz w:val="24"/>
        </w:rPr>
      </w:pPr>
      <w:r>
        <w:rPr>
          <w:i/>
          <w:iCs/>
          <w:sz w:val="24"/>
        </w:rPr>
        <w:t>9</w:t>
      </w:r>
      <w:r w:rsidR="00376FD2" w:rsidRPr="00BC172D">
        <w:rPr>
          <w:i/>
          <w:iCs/>
          <w:sz w:val="24"/>
        </w:rPr>
        <w:t xml:space="preserve">. Administrative konsekvenser for borgerne  </w:t>
      </w:r>
    </w:p>
    <w:p w:rsidR="00E40F1F" w:rsidRPr="00E40F1F" w:rsidRDefault="00546693" w:rsidP="00600AAC">
      <w:pPr>
        <w:widowControl/>
        <w:spacing w:line="288" w:lineRule="auto"/>
        <w:jc w:val="both"/>
        <w:rPr>
          <w:iCs/>
          <w:sz w:val="24"/>
        </w:rPr>
      </w:pPr>
      <w:r>
        <w:rPr>
          <w:iCs/>
          <w:sz w:val="24"/>
        </w:rPr>
        <w:t>Lovforslaget har ikke</w:t>
      </w:r>
      <w:r w:rsidR="00E40F1F" w:rsidRPr="00E40F1F">
        <w:rPr>
          <w:iCs/>
          <w:sz w:val="24"/>
        </w:rPr>
        <w:t xml:space="preserve"> administrative konsekvenser for borgerne.</w:t>
      </w:r>
    </w:p>
    <w:p w:rsidR="00376FD2" w:rsidRPr="00BC172D" w:rsidRDefault="00376FD2" w:rsidP="00600AAC">
      <w:pPr>
        <w:spacing w:line="288" w:lineRule="auto"/>
        <w:rPr>
          <w:sz w:val="24"/>
        </w:rPr>
      </w:pPr>
    </w:p>
    <w:p w:rsidR="00376FD2" w:rsidRPr="00BC172D" w:rsidRDefault="003137D8" w:rsidP="00600AAC">
      <w:pPr>
        <w:spacing w:line="288" w:lineRule="auto"/>
        <w:rPr>
          <w:i/>
          <w:iCs/>
          <w:sz w:val="24"/>
        </w:rPr>
      </w:pPr>
      <w:r>
        <w:rPr>
          <w:i/>
          <w:iCs/>
          <w:sz w:val="24"/>
        </w:rPr>
        <w:t>10</w:t>
      </w:r>
      <w:r w:rsidR="00376FD2" w:rsidRPr="00BC172D">
        <w:rPr>
          <w:i/>
          <w:iCs/>
          <w:sz w:val="24"/>
        </w:rPr>
        <w:t>. Miljømæssige konsekvenser</w:t>
      </w:r>
    </w:p>
    <w:p w:rsidR="00376FD2" w:rsidRDefault="00546693" w:rsidP="00600AAC">
      <w:pPr>
        <w:widowControl/>
        <w:spacing w:line="288" w:lineRule="auto"/>
        <w:jc w:val="both"/>
        <w:rPr>
          <w:sz w:val="24"/>
        </w:rPr>
      </w:pPr>
      <w:r>
        <w:rPr>
          <w:sz w:val="24"/>
        </w:rPr>
        <w:t>Lovforslaget har ikke miljømæssige konsekvenser.</w:t>
      </w:r>
    </w:p>
    <w:p w:rsidR="00546693" w:rsidRPr="00BC172D" w:rsidRDefault="00546693" w:rsidP="00600AAC">
      <w:pPr>
        <w:spacing w:line="288" w:lineRule="auto"/>
        <w:rPr>
          <w:sz w:val="24"/>
        </w:rPr>
      </w:pPr>
    </w:p>
    <w:p w:rsidR="00376FD2" w:rsidRDefault="003137D8" w:rsidP="00600AAC">
      <w:pPr>
        <w:spacing w:line="288" w:lineRule="auto"/>
        <w:rPr>
          <w:i/>
          <w:iCs/>
          <w:sz w:val="24"/>
        </w:rPr>
      </w:pPr>
      <w:r>
        <w:rPr>
          <w:i/>
          <w:iCs/>
          <w:sz w:val="24"/>
        </w:rPr>
        <w:t>11</w:t>
      </w:r>
      <w:r w:rsidR="00376FD2" w:rsidRPr="00BC172D">
        <w:rPr>
          <w:i/>
          <w:iCs/>
          <w:sz w:val="24"/>
        </w:rPr>
        <w:t>. Forholdet til EU-retten</w:t>
      </w:r>
    </w:p>
    <w:p w:rsidR="00546693" w:rsidRDefault="00F83A9C" w:rsidP="00600AAC">
      <w:pPr>
        <w:spacing w:line="288" w:lineRule="auto"/>
        <w:jc w:val="both"/>
        <w:rPr>
          <w:iCs/>
          <w:sz w:val="24"/>
        </w:rPr>
      </w:pPr>
      <w:r>
        <w:rPr>
          <w:iCs/>
          <w:sz w:val="24"/>
        </w:rPr>
        <w:t>Lovforslaget har</w:t>
      </w:r>
      <w:r w:rsidR="00546693">
        <w:rPr>
          <w:iCs/>
          <w:sz w:val="24"/>
        </w:rPr>
        <w:t xml:space="preserve"> ingen EU-retlige konsekvenser.</w:t>
      </w:r>
    </w:p>
    <w:p w:rsidR="00546693" w:rsidRPr="00546693" w:rsidRDefault="00546693" w:rsidP="00600AAC">
      <w:pPr>
        <w:spacing w:line="288" w:lineRule="auto"/>
        <w:rPr>
          <w:iCs/>
          <w:sz w:val="24"/>
        </w:rPr>
      </w:pPr>
    </w:p>
    <w:p w:rsidR="00376FD2" w:rsidRPr="00BC172D" w:rsidRDefault="003137D8" w:rsidP="00600AAC">
      <w:pPr>
        <w:spacing w:line="288" w:lineRule="auto"/>
        <w:rPr>
          <w:i/>
          <w:iCs/>
          <w:sz w:val="24"/>
        </w:rPr>
      </w:pPr>
      <w:r>
        <w:rPr>
          <w:i/>
          <w:iCs/>
          <w:sz w:val="24"/>
        </w:rPr>
        <w:t>12</w:t>
      </w:r>
      <w:r w:rsidR="00376FD2" w:rsidRPr="00BC172D">
        <w:rPr>
          <w:i/>
          <w:iCs/>
          <w:sz w:val="24"/>
        </w:rPr>
        <w:t xml:space="preserve">. Hørte myndigheder og organisationer m.v.  </w:t>
      </w:r>
    </w:p>
    <w:p w:rsidR="00E218D7" w:rsidRPr="00333578" w:rsidRDefault="00E218D7" w:rsidP="00333578">
      <w:pPr>
        <w:spacing w:line="288" w:lineRule="auto"/>
        <w:jc w:val="both"/>
        <w:rPr>
          <w:sz w:val="24"/>
        </w:rPr>
      </w:pPr>
      <w:r w:rsidRPr="00333578">
        <w:rPr>
          <w:sz w:val="24"/>
        </w:rPr>
        <w:t>Et udkast til lovforslag</w:t>
      </w:r>
      <w:r w:rsidR="00125080">
        <w:rPr>
          <w:sz w:val="24"/>
        </w:rPr>
        <w:t>et</w:t>
      </w:r>
      <w:r w:rsidRPr="00333578">
        <w:rPr>
          <w:sz w:val="24"/>
        </w:rPr>
        <w:t xml:space="preserve"> har været i høring ho</w:t>
      </w:r>
      <w:r w:rsidR="009D5216" w:rsidRPr="00333578">
        <w:rPr>
          <w:sz w:val="24"/>
        </w:rPr>
        <w:t>s</w:t>
      </w:r>
      <w:r w:rsidRPr="00333578">
        <w:rPr>
          <w:sz w:val="24"/>
        </w:rPr>
        <w:t xml:space="preserve"> følgende myndigheder og organisationer: </w:t>
      </w:r>
      <w:r w:rsidR="00333578" w:rsidRPr="00333578">
        <w:rPr>
          <w:sz w:val="24"/>
        </w:rPr>
        <w:t xml:space="preserve">Advokatsamfundet, </w:t>
      </w:r>
      <w:r w:rsidR="00802528">
        <w:rPr>
          <w:sz w:val="24"/>
        </w:rPr>
        <w:t xml:space="preserve">Akademikerne, </w:t>
      </w:r>
      <w:r w:rsidR="00333578" w:rsidRPr="00333578">
        <w:rPr>
          <w:sz w:val="24"/>
        </w:rPr>
        <w:t xml:space="preserve">Arbejderbevægelsens Erhvervsråd, CEPOS, </w:t>
      </w:r>
      <w:proofErr w:type="spellStart"/>
      <w:r w:rsidR="00333578" w:rsidRPr="00333578">
        <w:rPr>
          <w:sz w:val="24"/>
        </w:rPr>
        <w:t>Cevea</w:t>
      </w:r>
      <w:proofErr w:type="spellEnd"/>
      <w:r w:rsidR="00333578" w:rsidRPr="00333578">
        <w:rPr>
          <w:sz w:val="24"/>
        </w:rPr>
        <w:t xml:space="preserve">, Danmarks Idrætsforbund, Danmarks Rederiforening, Dansk Arbejdsgiverforening, Dansk Erhverv, Danske Advokater, Den Danske Skatteborgerforening, DI, Foreningen Danske Revisorer, FSR-danske revisorer, </w:t>
      </w:r>
      <w:r w:rsidR="00802528">
        <w:rPr>
          <w:sz w:val="24"/>
        </w:rPr>
        <w:t xml:space="preserve">FTF, </w:t>
      </w:r>
      <w:r w:rsidR="00333578" w:rsidRPr="00333578">
        <w:rPr>
          <w:sz w:val="24"/>
        </w:rPr>
        <w:t xml:space="preserve">KL, KRAKA, Landsskatteretten, </w:t>
      </w:r>
      <w:r w:rsidR="00802528">
        <w:rPr>
          <w:sz w:val="24"/>
        </w:rPr>
        <w:t xml:space="preserve">Ledernes Hovedorganisation, LO, </w:t>
      </w:r>
      <w:r w:rsidR="00333578" w:rsidRPr="00333578">
        <w:rPr>
          <w:sz w:val="24"/>
        </w:rPr>
        <w:t>SKAT, Skatteankestyrelsen, SRF-Skattefaglig Forening.</w:t>
      </w:r>
    </w:p>
    <w:p w:rsidR="00333578" w:rsidRPr="00BC172D" w:rsidRDefault="00333578" w:rsidP="00333578">
      <w:pPr>
        <w:spacing w:line="288" w:lineRule="auto"/>
        <w:jc w:val="both"/>
        <w:rPr>
          <w:sz w:val="24"/>
        </w:rPr>
      </w:pPr>
    </w:p>
    <w:p w:rsidR="00376FD2" w:rsidRPr="00BC172D" w:rsidRDefault="00376FD2" w:rsidP="00600AAC">
      <w:pPr>
        <w:spacing w:line="288" w:lineRule="auto"/>
        <w:rPr>
          <w:i/>
          <w:iCs/>
          <w:sz w:val="24"/>
        </w:rPr>
      </w:pPr>
      <w:r w:rsidRPr="00BC172D">
        <w:rPr>
          <w:i/>
          <w:iCs/>
          <w:sz w:val="24"/>
        </w:rPr>
        <w:t>1</w:t>
      </w:r>
      <w:r w:rsidR="003137D8">
        <w:rPr>
          <w:i/>
          <w:iCs/>
          <w:sz w:val="24"/>
        </w:rPr>
        <w:t>3</w:t>
      </w:r>
      <w:r w:rsidRPr="00BC172D">
        <w:rPr>
          <w:i/>
          <w:iCs/>
          <w:sz w:val="24"/>
        </w:rPr>
        <w:t xml:space="preserve">. Sammenfattende skema </w:t>
      </w:r>
    </w:p>
    <w:p w:rsidR="009D4AF3" w:rsidRDefault="009D4AF3" w:rsidP="00376FD2">
      <w:pPr>
        <w:rPr>
          <w:i/>
          <w:iCs/>
          <w:sz w:val="24"/>
        </w:rPr>
      </w:pPr>
    </w:p>
    <w:p w:rsidR="009D4AF3" w:rsidRPr="00BC172D" w:rsidRDefault="009D4AF3" w:rsidP="00376FD2">
      <w:pPr>
        <w:rPr>
          <w:i/>
          <w:iCs/>
          <w:sz w:val="24"/>
        </w:rPr>
      </w:pPr>
    </w:p>
    <w:p w:rsidR="00376FD2" w:rsidRPr="00BC172D" w:rsidRDefault="00376FD2" w:rsidP="00376FD2">
      <w:pPr>
        <w:ind w:right="1"/>
        <w:jc w:val="center"/>
        <w:rPr>
          <w:b/>
          <w:bCs/>
          <w:sz w:val="24"/>
        </w:rPr>
      </w:pPr>
      <w:r w:rsidRPr="00BC172D">
        <w:rPr>
          <w:b/>
          <w:bCs/>
          <w:sz w:val="24"/>
        </w:rPr>
        <w:t>Samlet vurdering af konsekvenser af lovforslaget</w:t>
      </w:r>
    </w:p>
    <w:p w:rsidR="00376FD2" w:rsidRPr="00BC172D" w:rsidRDefault="00376FD2" w:rsidP="00376FD2">
      <w:pPr>
        <w:ind w:right="1"/>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3250"/>
        <w:gridCol w:w="3122"/>
      </w:tblGrid>
      <w:tr w:rsidR="00376FD2" w:rsidRPr="00BC172D" w:rsidTr="00460FC4">
        <w:tc>
          <w:tcPr>
            <w:tcW w:w="1569" w:type="pct"/>
            <w:tcBorders>
              <w:top w:val="single" w:sz="4" w:space="0" w:color="auto"/>
              <w:left w:val="single" w:sz="4" w:space="0" w:color="auto"/>
              <w:bottom w:val="single" w:sz="4" w:space="0" w:color="auto"/>
              <w:right w:val="single" w:sz="4" w:space="0" w:color="auto"/>
            </w:tcBorders>
          </w:tcPr>
          <w:p w:rsidR="00376FD2" w:rsidRPr="00BC172D" w:rsidRDefault="00376FD2" w:rsidP="00460FC4">
            <w:pPr>
              <w:rPr>
                <w:sz w:val="24"/>
              </w:rPr>
            </w:pPr>
          </w:p>
        </w:tc>
        <w:tc>
          <w:tcPr>
            <w:tcW w:w="1750" w:type="pct"/>
            <w:tcBorders>
              <w:top w:val="single" w:sz="4" w:space="0" w:color="auto"/>
              <w:left w:val="single" w:sz="4" w:space="0" w:color="auto"/>
              <w:bottom w:val="single" w:sz="4" w:space="0" w:color="auto"/>
              <w:right w:val="single" w:sz="4" w:space="0" w:color="auto"/>
            </w:tcBorders>
          </w:tcPr>
          <w:p w:rsidR="00376FD2" w:rsidRPr="00BC172D" w:rsidRDefault="00376FD2" w:rsidP="00460FC4">
            <w:pPr>
              <w:rPr>
                <w:sz w:val="24"/>
              </w:rPr>
            </w:pPr>
            <w:r w:rsidRPr="00BC172D">
              <w:rPr>
                <w:sz w:val="24"/>
              </w:rPr>
              <w:t xml:space="preserve">Positive konsekvenser/ mindre udgifter  </w:t>
            </w:r>
          </w:p>
        </w:tc>
        <w:tc>
          <w:tcPr>
            <w:tcW w:w="1681" w:type="pct"/>
            <w:tcBorders>
              <w:top w:val="single" w:sz="4" w:space="0" w:color="auto"/>
              <w:left w:val="single" w:sz="4" w:space="0" w:color="auto"/>
              <w:bottom w:val="single" w:sz="4" w:space="0" w:color="auto"/>
              <w:right w:val="single" w:sz="4" w:space="0" w:color="auto"/>
            </w:tcBorders>
          </w:tcPr>
          <w:p w:rsidR="00376FD2" w:rsidRPr="00BC172D" w:rsidRDefault="00376FD2" w:rsidP="00460FC4">
            <w:pPr>
              <w:rPr>
                <w:sz w:val="24"/>
              </w:rPr>
            </w:pPr>
            <w:r w:rsidRPr="00BC172D">
              <w:rPr>
                <w:sz w:val="24"/>
              </w:rPr>
              <w:t>Negative konsekvenser/merudgifter</w:t>
            </w:r>
          </w:p>
        </w:tc>
      </w:tr>
      <w:tr w:rsidR="00376FD2" w:rsidRPr="00BC172D" w:rsidTr="00460FC4">
        <w:tc>
          <w:tcPr>
            <w:tcW w:w="1569" w:type="pct"/>
            <w:tcBorders>
              <w:top w:val="single" w:sz="4" w:space="0" w:color="auto"/>
              <w:left w:val="single" w:sz="4" w:space="0" w:color="auto"/>
              <w:bottom w:val="single" w:sz="4" w:space="0" w:color="auto"/>
              <w:right w:val="single" w:sz="4" w:space="0" w:color="auto"/>
            </w:tcBorders>
          </w:tcPr>
          <w:p w:rsidR="00376FD2" w:rsidRPr="00BC172D" w:rsidRDefault="00376FD2" w:rsidP="00460FC4">
            <w:pPr>
              <w:rPr>
                <w:sz w:val="24"/>
              </w:rPr>
            </w:pPr>
            <w:r w:rsidRPr="00BC172D">
              <w:rPr>
                <w:sz w:val="24"/>
              </w:rPr>
              <w:t xml:space="preserve">Økonomiske konsekvenser for det offentlige </w:t>
            </w:r>
          </w:p>
        </w:tc>
        <w:tc>
          <w:tcPr>
            <w:tcW w:w="1750" w:type="pct"/>
            <w:tcBorders>
              <w:top w:val="single" w:sz="4" w:space="0" w:color="auto"/>
              <w:left w:val="single" w:sz="4" w:space="0" w:color="auto"/>
              <w:bottom w:val="single" w:sz="4" w:space="0" w:color="auto"/>
              <w:right w:val="single" w:sz="4" w:space="0" w:color="auto"/>
            </w:tcBorders>
          </w:tcPr>
          <w:p w:rsidR="00376FD2" w:rsidRPr="00BC172D" w:rsidRDefault="00275F94" w:rsidP="00460FC4">
            <w:pPr>
              <w:pStyle w:val="Sidefod"/>
              <w:tabs>
                <w:tab w:val="left" w:pos="1304"/>
              </w:tabs>
              <w:rPr>
                <w:sz w:val="24"/>
              </w:rPr>
            </w:pPr>
            <w:r>
              <w:rPr>
                <w:sz w:val="24"/>
              </w:rPr>
              <w:t>Ingen</w:t>
            </w:r>
          </w:p>
        </w:tc>
        <w:tc>
          <w:tcPr>
            <w:tcW w:w="1681" w:type="pct"/>
            <w:tcBorders>
              <w:top w:val="single" w:sz="4" w:space="0" w:color="auto"/>
              <w:left w:val="single" w:sz="4" w:space="0" w:color="auto"/>
              <w:bottom w:val="single" w:sz="4" w:space="0" w:color="auto"/>
              <w:right w:val="single" w:sz="4" w:space="0" w:color="auto"/>
            </w:tcBorders>
          </w:tcPr>
          <w:p w:rsidR="00275F94" w:rsidRDefault="002A4022" w:rsidP="00275F94">
            <w:pPr>
              <w:rPr>
                <w:sz w:val="24"/>
              </w:rPr>
            </w:pPr>
            <w:r>
              <w:rPr>
                <w:sz w:val="24"/>
              </w:rPr>
              <w:t xml:space="preserve">Forslaget skønnes at medføre et årligt umiddelbart </w:t>
            </w:r>
            <w:proofErr w:type="spellStart"/>
            <w:r>
              <w:rPr>
                <w:sz w:val="24"/>
              </w:rPr>
              <w:lastRenderedPageBreak/>
              <w:t>mindreprovenu</w:t>
            </w:r>
            <w:proofErr w:type="spellEnd"/>
            <w:r>
              <w:rPr>
                <w:sz w:val="24"/>
              </w:rPr>
              <w:t xml:space="preserve"> på ca. 255 mio. kr. </w:t>
            </w:r>
            <w:r w:rsidR="00275F94">
              <w:rPr>
                <w:sz w:val="24"/>
              </w:rPr>
              <w:t xml:space="preserve">og ca. 35 mio. kr. efter tilbageløb og adfærd. Det varige </w:t>
            </w:r>
            <w:proofErr w:type="spellStart"/>
            <w:r w:rsidR="00275F94">
              <w:rPr>
                <w:sz w:val="24"/>
              </w:rPr>
              <w:t>mindreprovenu</w:t>
            </w:r>
            <w:proofErr w:type="spellEnd"/>
            <w:r w:rsidR="00275F94">
              <w:rPr>
                <w:sz w:val="24"/>
              </w:rPr>
              <w:t xml:space="preserve"> udgør ca. 35 mio. kr. årligt</w:t>
            </w:r>
            <w:r w:rsidR="006E752A">
              <w:rPr>
                <w:sz w:val="24"/>
              </w:rPr>
              <w:t xml:space="preserve"> efter tilbageløb og adfærd</w:t>
            </w:r>
            <w:r w:rsidR="00275F94">
              <w:rPr>
                <w:sz w:val="24"/>
              </w:rPr>
              <w:t>.</w:t>
            </w:r>
          </w:p>
          <w:p w:rsidR="00275F94" w:rsidRDefault="00275F94" w:rsidP="00275F94">
            <w:pPr>
              <w:rPr>
                <w:sz w:val="24"/>
              </w:rPr>
            </w:pPr>
          </w:p>
          <w:p w:rsidR="00376FD2" w:rsidRPr="00BC172D" w:rsidRDefault="00275F94" w:rsidP="002A4022">
            <w:pPr>
              <w:rPr>
                <w:sz w:val="24"/>
              </w:rPr>
            </w:pPr>
            <w:r>
              <w:rPr>
                <w:sz w:val="24"/>
              </w:rPr>
              <w:t xml:space="preserve">Forslaget medfører et årligt </w:t>
            </w:r>
            <w:proofErr w:type="spellStart"/>
            <w:r>
              <w:rPr>
                <w:sz w:val="24"/>
              </w:rPr>
              <w:t>mindreprovenu</w:t>
            </w:r>
            <w:proofErr w:type="spellEnd"/>
            <w:r>
              <w:rPr>
                <w:sz w:val="24"/>
              </w:rPr>
              <w:t xml:space="preserve"> for kommunerne på ca. 25</w:t>
            </w:r>
            <w:r w:rsidR="002A4022">
              <w:rPr>
                <w:sz w:val="24"/>
              </w:rPr>
              <w:t>5</w:t>
            </w:r>
            <w:r>
              <w:rPr>
                <w:sz w:val="24"/>
              </w:rPr>
              <w:t xml:space="preserve"> mio. kr</w:t>
            </w:r>
            <w:r w:rsidR="002A4022">
              <w:rPr>
                <w:sz w:val="24"/>
              </w:rPr>
              <w:t>.</w:t>
            </w:r>
          </w:p>
        </w:tc>
      </w:tr>
      <w:tr w:rsidR="00376FD2" w:rsidRPr="00BC172D" w:rsidTr="00460FC4">
        <w:tc>
          <w:tcPr>
            <w:tcW w:w="1569" w:type="pct"/>
            <w:tcBorders>
              <w:top w:val="single" w:sz="4" w:space="0" w:color="auto"/>
              <w:left w:val="single" w:sz="4" w:space="0" w:color="auto"/>
              <w:bottom w:val="single" w:sz="4" w:space="0" w:color="auto"/>
              <w:right w:val="single" w:sz="4" w:space="0" w:color="auto"/>
            </w:tcBorders>
          </w:tcPr>
          <w:p w:rsidR="00376FD2" w:rsidRPr="00BC172D" w:rsidRDefault="00376FD2" w:rsidP="00460FC4">
            <w:pPr>
              <w:rPr>
                <w:sz w:val="24"/>
              </w:rPr>
            </w:pPr>
            <w:r w:rsidRPr="00BC172D">
              <w:rPr>
                <w:sz w:val="24"/>
              </w:rPr>
              <w:lastRenderedPageBreak/>
              <w:t>Administrative konsekvenser for det offentlige</w:t>
            </w:r>
          </w:p>
        </w:tc>
        <w:tc>
          <w:tcPr>
            <w:tcW w:w="1750" w:type="pct"/>
            <w:tcBorders>
              <w:top w:val="single" w:sz="4" w:space="0" w:color="auto"/>
              <w:left w:val="single" w:sz="4" w:space="0" w:color="auto"/>
              <w:bottom w:val="single" w:sz="4" w:space="0" w:color="auto"/>
              <w:right w:val="single" w:sz="4" w:space="0" w:color="auto"/>
            </w:tcBorders>
          </w:tcPr>
          <w:p w:rsidR="00376FD2" w:rsidRPr="00BC172D" w:rsidRDefault="00376FD2" w:rsidP="00460FC4">
            <w:pPr>
              <w:rPr>
                <w:sz w:val="24"/>
              </w:rPr>
            </w:pPr>
          </w:p>
        </w:tc>
        <w:tc>
          <w:tcPr>
            <w:tcW w:w="1681" w:type="pct"/>
            <w:tcBorders>
              <w:top w:val="single" w:sz="4" w:space="0" w:color="auto"/>
              <w:left w:val="single" w:sz="4" w:space="0" w:color="auto"/>
              <w:bottom w:val="single" w:sz="4" w:space="0" w:color="auto"/>
              <w:right w:val="single" w:sz="4" w:space="0" w:color="auto"/>
            </w:tcBorders>
          </w:tcPr>
          <w:p w:rsidR="00376FD2" w:rsidRPr="00BC172D" w:rsidRDefault="007658B6" w:rsidP="00460FC4">
            <w:pPr>
              <w:rPr>
                <w:sz w:val="24"/>
              </w:rPr>
            </w:pPr>
            <w:r>
              <w:rPr>
                <w:sz w:val="24"/>
              </w:rPr>
              <w:t>E</w:t>
            </w:r>
            <w:r w:rsidRPr="007658B6">
              <w:rPr>
                <w:sz w:val="24"/>
              </w:rPr>
              <w:t>ngangsomkostninger på 100.000 kr. til systemtilretning</w:t>
            </w:r>
          </w:p>
        </w:tc>
      </w:tr>
      <w:tr w:rsidR="00376FD2" w:rsidRPr="00BC172D" w:rsidTr="00460FC4">
        <w:tc>
          <w:tcPr>
            <w:tcW w:w="1569" w:type="pct"/>
            <w:tcBorders>
              <w:top w:val="single" w:sz="4" w:space="0" w:color="auto"/>
              <w:left w:val="single" w:sz="4" w:space="0" w:color="auto"/>
              <w:bottom w:val="single" w:sz="4" w:space="0" w:color="auto"/>
              <w:right w:val="single" w:sz="4" w:space="0" w:color="auto"/>
            </w:tcBorders>
          </w:tcPr>
          <w:p w:rsidR="00376FD2" w:rsidRPr="00BC172D" w:rsidRDefault="00376FD2" w:rsidP="00460FC4">
            <w:pPr>
              <w:rPr>
                <w:sz w:val="24"/>
              </w:rPr>
            </w:pPr>
            <w:r w:rsidRPr="00BC172D">
              <w:rPr>
                <w:sz w:val="24"/>
              </w:rPr>
              <w:t>Økonomiske konsekvenser for erhvervslivet</w:t>
            </w:r>
          </w:p>
        </w:tc>
        <w:tc>
          <w:tcPr>
            <w:tcW w:w="1750" w:type="pct"/>
            <w:tcBorders>
              <w:top w:val="single" w:sz="4" w:space="0" w:color="auto"/>
              <w:left w:val="single" w:sz="4" w:space="0" w:color="auto"/>
              <w:bottom w:val="single" w:sz="4" w:space="0" w:color="auto"/>
              <w:right w:val="single" w:sz="4" w:space="0" w:color="auto"/>
            </w:tcBorders>
          </w:tcPr>
          <w:p w:rsidR="00376FD2" w:rsidRPr="00BC172D" w:rsidRDefault="00275F94" w:rsidP="00944CD7">
            <w:pPr>
              <w:rPr>
                <w:sz w:val="24"/>
              </w:rPr>
            </w:pPr>
            <w:r w:rsidRPr="00275F94">
              <w:rPr>
                <w:sz w:val="24"/>
              </w:rPr>
              <w:t>Nedsættelsen af vederlagskravet for nøglemedarbejdere under forskerordningen forbedrer danske virksomheders konkurrenceposition.</w:t>
            </w:r>
          </w:p>
        </w:tc>
        <w:tc>
          <w:tcPr>
            <w:tcW w:w="1681" w:type="pct"/>
            <w:tcBorders>
              <w:top w:val="single" w:sz="4" w:space="0" w:color="auto"/>
              <w:left w:val="single" w:sz="4" w:space="0" w:color="auto"/>
              <w:bottom w:val="single" w:sz="4" w:space="0" w:color="auto"/>
              <w:right w:val="single" w:sz="4" w:space="0" w:color="auto"/>
            </w:tcBorders>
          </w:tcPr>
          <w:p w:rsidR="00376FD2" w:rsidRPr="00BC172D" w:rsidRDefault="00376FD2" w:rsidP="00460FC4">
            <w:pPr>
              <w:rPr>
                <w:sz w:val="24"/>
              </w:rPr>
            </w:pPr>
          </w:p>
        </w:tc>
      </w:tr>
      <w:tr w:rsidR="00376FD2" w:rsidRPr="00BC172D" w:rsidTr="00460FC4">
        <w:tc>
          <w:tcPr>
            <w:tcW w:w="1569" w:type="pct"/>
            <w:tcBorders>
              <w:top w:val="single" w:sz="4" w:space="0" w:color="auto"/>
              <w:left w:val="single" w:sz="4" w:space="0" w:color="auto"/>
              <w:bottom w:val="single" w:sz="4" w:space="0" w:color="auto"/>
              <w:right w:val="single" w:sz="4" w:space="0" w:color="auto"/>
            </w:tcBorders>
          </w:tcPr>
          <w:p w:rsidR="00376FD2" w:rsidRPr="00BC172D" w:rsidRDefault="00376FD2" w:rsidP="00460FC4">
            <w:pPr>
              <w:rPr>
                <w:sz w:val="24"/>
              </w:rPr>
            </w:pPr>
            <w:r w:rsidRPr="00BC172D">
              <w:rPr>
                <w:sz w:val="24"/>
              </w:rPr>
              <w:t xml:space="preserve">Administrative konsekvenser for erhvervslivet </w:t>
            </w:r>
          </w:p>
        </w:tc>
        <w:tc>
          <w:tcPr>
            <w:tcW w:w="1750" w:type="pct"/>
            <w:tcBorders>
              <w:top w:val="single" w:sz="4" w:space="0" w:color="auto"/>
              <w:left w:val="single" w:sz="4" w:space="0" w:color="auto"/>
              <w:bottom w:val="single" w:sz="4" w:space="0" w:color="auto"/>
              <w:right w:val="single" w:sz="4" w:space="0" w:color="auto"/>
            </w:tcBorders>
          </w:tcPr>
          <w:p w:rsidR="00376FD2" w:rsidRPr="00BC172D" w:rsidRDefault="007658B6" w:rsidP="00460FC4">
            <w:pPr>
              <w:rPr>
                <w:sz w:val="24"/>
              </w:rPr>
            </w:pPr>
            <w:r>
              <w:rPr>
                <w:sz w:val="24"/>
              </w:rPr>
              <w:t>Ingen</w:t>
            </w:r>
          </w:p>
        </w:tc>
        <w:tc>
          <w:tcPr>
            <w:tcW w:w="1681" w:type="pct"/>
            <w:tcBorders>
              <w:top w:val="single" w:sz="4" w:space="0" w:color="auto"/>
              <w:left w:val="single" w:sz="4" w:space="0" w:color="auto"/>
              <w:bottom w:val="single" w:sz="4" w:space="0" w:color="auto"/>
              <w:right w:val="single" w:sz="4" w:space="0" w:color="auto"/>
            </w:tcBorders>
          </w:tcPr>
          <w:p w:rsidR="00376FD2" w:rsidRPr="00BC172D" w:rsidRDefault="007658B6" w:rsidP="00460FC4">
            <w:pPr>
              <w:rPr>
                <w:sz w:val="24"/>
              </w:rPr>
            </w:pPr>
            <w:r>
              <w:rPr>
                <w:sz w:val="24"/>
              </w:rPr>
              <w:t>Ingen</w:t>
            </w:r>
          </w:p>
        </w:tc>
      </w:tr>
      <w:tr w:rsidR="00376FD2" w:rsidRPr="00BC172D" w:rsidTr="00460FC4">
        <w:tc>
          <w:tcPr>
            <w:tcW w:w="1569" w:type="pct"/>
            <w:tcBorders>
              <w:top w:val="single" w:sz="4" w:space="0" w:color="auto"/>
              <w:left w:val="single" w:sz="4" w:space="0" w:color="auto"/>
              <w:bottom w:val="single" w:sz="4" w:space="0" w:color="auto"/>
              <w:right w:val="single" w:sz="4" w:space="0" w:color="auto"/>
            </w:tcBorders>
          </w:tcPr>
          <w:p w:rsidR="00376FD2" w:rsidRPr="00BC172D" w:rsidRDefault="00376FD2" w:rsidP="00460FC4">
            <w:pPr>
              <w:rPr>
                <w:sz w:val="24"/>
              </w:rPr>
            </w:pPr>
            <w:r w:rsidRPr="00BC172D">
              <w:rPr>
                <w:sz w:val="24"/>
              </w:rPr>
              <w:t xml:space="preserve">Administrative konsekvenser for borgerne  </w:t>
            </w:r>
          </w:p>
        </w:tc>
        <w:tc>
          <w:tcPr>
            <w:tcW w:w="1750" w:type="pct"/>
            <w:tcBorders>
              <w:top w:val="single" w:sz="4" w:space="0" w:color="auto"/>
              <w:left w:val="single" w:sz="4" w:space="0" w:color="auto"/>
              <w:bottom w:val="single" w:sz="4" w:space="0" w:color="auto"/>
              <w:right w:val="single" w:sz="4" w:space="0" w:color="auto"/>
            </w:tcBorders>
          </w:tcPr>
          <w:p w:rsidR="00376FD2" w:rsidRPr="00BC172D" w:rsidRDefault="00D30C38" w:rsidP="00460FC4">
            <w:pPr>
              <w:rPr>
                <w:sz w:val="24"/>
              </w:rPr>
            </w:pPr>
            <w:r>
              <w:rPr>
                <w:sz w:val="24"/>
              </w:rPr>
              <w:t>Ingen</w:t>
            </w:r>
          </w:p>
        </w:tc>
        <w:tc>
          <w:tcPr>
            <w:tcW w:w="1681" w:type="pct"/>
            <w:tcBorders>
              <w:top w:val="single" w:sz="4" w:space="0" w:color="auto"/>
              <w:left w:val="single" w:sz="4" w:space="0" w:color="auto"/>
              <w:bottom w:val="single" w:sz="4" w:space="0" w:color="auto"/>
              <w:right w:val="single" w:sz="4" w:space="0" w:color="auto"/>
            </w:tcBorders>
          </w:tcPr>
          <w:p w:rsidR="00376FD2" w:rsidRPr="00BC172D" w:rsidRDefault="00D30C38" w:rsidP="00460FC4">
            <w:pPr>
              <w:rPr>
                <w:sz w:val="24"/>
              </w:rPr>
            </w:pPr>
            <w:r>
              <w:rPr>
                <w:sz w:val="24"/>
              </w:rPr>
              <w:t>Ingen</w:t>
            </w:r>
          </w:p>
        </w:tc>
      </w:tr>
      <w:tr w:rsidR="00376FD2" w:rsidRPr="00BC172D" w:rsidTr="00460FC4">
        <w:tc>
          <w:tcPr>
            <w:tcW w:w="1569" w:type="pct"/>
            <w:tcBorders>
              <w:top w:val="single" w:sz="4" w:space="0" w:color="auto"/>
              <w:left w:val="single" w:sz="4" w:space="0" w:color="auto"/>
              <w:bottom w:val="single" w:sz="4" w:space="0" w:color="auto"/>
              <w:right w:val="single" w:sz="4" w:space="0" w:color="auto"/>
            </w:tcBorders>
          </w:tcPr>
          <w:p w:rsidR="00376FD2" w:rsidRPr="00BC172D" w:rsidRDefault="00376FD2" w:rsidP="00460FC4">
            <w:pPr>
              <w:rPr>
                <w:sz w:val="24"/>
              </w:rPr>
            </w:pPr>
            <w:r w:rsidRPr="00BC172D">
              <w:rPr>
                <w:sz w:val="24"/>
              </w:rPr>
              <w:t xml:space="preserve">Miljømæssige konsekvenser </w:t>
            </w:r>
          </w:p>
        </w:tc>
        <w:tc>
          <w:tcPr>
            <w:tcW w:w="1750" w:type="pct"/>
            <w:tcBorders>
              <w:top w:val="single" w:sz="4" w:space="0" w:color="auto"/>
              <w:left w:val="single" w:sz="4" w:space="0" w:color="auto"/>
              <w:bottom w:val="single" w:sz="4" w:space="0" w:color="auto"/>
              <w:right w:val="single" w:sz="4" w:space="0" w:color="auto"/>
            </w:tcBorders>
          </w:tcPr>
          <w:p w:rsidR="00376FD2" w:rsidRPr="00BC172D" w:rsidRDefault="00D30C38" w:rsidP="00460FC4">
            <w:pPr>
              <w:rPr>
                <w:sz w:val="24"/>
              </w:rPr>
            </w:pPr>
            <w:r>
              <w:rPr>
                <w:sz w:val="24"/>
              </w:rPr>
              <w:t>Ingen</w:t>
            </w:r>
          </w:p>
        </w:tc>
        <w:tc>
          <w:tcPr>
            <w:tcW w:w="1681" w:type="pct"/>
            <w:tcBorders>
              <w:top w:val="single" w:sz="4" w:space="0" w:color="auto"/>
              <w:left w:val="single" w:sz="4" w:space="0" w:color="auto"/>
              <w:bottom w:val="single" w:sz="4" w:space="0" w:color="auto"/>
              <w:right w:val="single" w:sz="4" w:space="0" w:color="auto"/>
            </w:tcBorders>
          </w:tcPr>
          <w:p w:rsidR="00376FD2" w:rsidRPr="00BC172D" w:rsidRDefault="00D30C38" w:rsidP="00460FC4">
            <w:pPr>
              <w:rPr>
                <w:sz w:val="24"/>
              </w:rPr>
            </w:pPr>
            <w:r>
              <w:rPr>
                <w:sz w:val="24"/>
              </w:rPr>
              <w:t>Ingen</w:t>
            </w:r>
          </w:p>
        </w:tc>
      </w:tr>
      <w:tr w:rsidR="00376FD2" w:rsidRPr="00BC172D" w:rsidTr="00460FC4">
        <w:trPr>
          <w:cantSplit/>
        </w:trPr>
        <w:tc>
          <w:tcPr>
            <w:tcW w:w="1569" w:type="pct"/>
            <w:tcBorders>
              <w:top w:val="single" w:sz="4" w:space="0" w:color="auto"/>
              <w:left w:val="single" w:sz="4" w:space="0" w:color="auto"/>
              <w:bottom w:val="single" w:sz="4" w:space="0" w:color="auto"/>
              <w:right w:val="single" w:sz="4" w:space="0" w:color="auto"/>
            </w:tcBorders>
          </w:tcPr>
          <w:p w:rsidR="00376FD2" w:rsidRPr="00BC172D" w:rsidRDefault="00376FD2" w:rsidP="00460FC4">
            <w:pPr>
              <w:rPr>
                <w:sz w:val="24"/>
              </w:rPr>
            </w:pPr>
            <w:r w:rsidRPr="00BC172D">
              <w:rPr>
                <w:sz w:val="24"/>
              </w:rPr>
              <w:t xml:space="preserve">Forholdet til EU-retten </w:t>
            </w:r>
          </w:p>
        </w:tc>
        <w:tc>
          <w:tcPr>
            <w:tcW w:w="3431" w:type="pct"/>
            <w:gridSpan w:val="2"/>
            <w:tcBorders>
              <w:top w:val="single" w:sz="4" w:space="0" w:color="auto"/>
              <w:left w:val="single" w:sz="4" w:space="0" w:color="auto"/>
              <w:bottom w:val="single" w:sz="4" w:space="0" w:color="auto"/>
              <w:right w:val="single" w:sz="4" w:space="0" w:color="auto"/>
            </w:tcBorders>
          </w:tcPr>
          <w:p w:rsidR="00376FD2" w:rsidRPr="00BC172D" w:rsidRDefault="00D30C38" w:rsidP="00460FC4">
            <w:pPr>
              <w:rPr>
                <w:sz w:val="24"/>
              </w:rPr>
            </w:pPr>
            <w:r>
              <w:rPr>
                <w:sz w:val="24"/>
              </w:rPr>
              <w:t>Lovforslaget har ingen EU-retlige konsekvenser.</w:t>
            </w:r>
          </w:p>
        </w:tc>
      </w:tr>
    </w:tbl>
    <w:p w:rsidR="00376FD2" w:rsidRDefault="00376FD2" w:rsidP="00376FD2">
      <w:pPr>
        <w:ind w:right="1"/>
        <w:rPr>
          <w:sz w:val="24"/>
        </w:rPr>
      </w:pPr>
    </w:p>
    <w:p w:rsidR="009D5216" w:rsidRDefault="009D5216" w:rsidP="00376FD2">
      <w:pPr>
        <w:ind w:right="1"/>
        <w:rPr>
          <w:sz w:val="24"/>
        </w:rPr>
      </w:pPr>
    </w:p>
    <w:p w:rsidR="009D5216" w:rsidRPr="00BC172D" w:rsidRDefault="009D5216" w:rsidP="00376FD2">
      <w:pPr>
        <w:ind w:right="1"/>
        <w:rPr>
          <w:b/>
          <w:sz w:val="24"/>
        </w:rPr>
      </w:pPr>
    </w:p>
    <w:p w:rsidR="00376FD2" w:rsidRPr="00BC172D" w:rsidRDefault="00376FD2" w:rsidP="00376FD2">
      <w:pPr>
        <w:jc w:val="center"/>
        <w:rPr>
          <w:i/>
          <w:iCs/>
          <w:sz w:val="24"/>
        </w:rPr>
      </w:pPr>
      <w:r w:rsidRPr="00BC172D">
        <w:rPr>
          <w:i/>
          <w:iCs/>
          <w:sz w:val="24"/>
        </w:rPr>
        <w:t>Bemærkninger til lovforslagets enkelte bestemmelser</w:t>
      </w:r>
    </w:p>
    <w:p w:rsidR="00376FD2" w:rsidRPr="00BC172D" w:rsidRDefault="00376FD2" w:rsidP="00376FD2">
      <w:pPr>
        <w:rPr>
          <w:sz w:val="24"/>
        </w:rPr>
      </w:pPr>
    </w:p>
    <w:p w:rsidR="00376FD2" w:rsidRPr="00BC172D" w:rsidRDefault="00376FD2" w:rsidP="00376FD2">
      <w:pPr>
        <w:rPr>
          <w:sz w:val="24"/>
        </w:rPr>
      </w:pPr>
    </w:p>
    <w:p w:rsidR="00376FD2" w:rsidRPr="00BC172D" w:rsidRDefault="00376FD2" w:rsidP="00376FD2">
      <w:pPr>
        <w:jc w:val="center"/>
        <w:rPr>
          <w:i/>
          <w:iCs/>
          <w:sz w:val="24"/>
        </w:rPr>
      </w:pPr>
      <w:r w:rsidRPr="00BC172D">
        <w:rPr>
          <w:i/>
          <w:iCs/>
          <w:sz w:val="24"/>
        </w:rPr>
        <w:t>Til § 1</w:t>
      </w:r>
    </w:p>
    <w:p w:rsidR="00376FD2" w:rsidRDefault="006E18F2" w:rsidP="00D30C38">
      <w:pPr>
        <w:spacing w:line="288" w:lineRule="auto"/>
        <w:rPr>
          <w:sz w:val="24"/>
        </w:rPr>
      </w:pPr>
      <w:r>
        <w:rPr>
          <w:sz w:val="24"/>
        </w:rPr>
        <w:t>Til nr. 1</w:t>
      </w:r>
    </w:p>
    <w:p w:rsidR="00E40F1F" w:rsidRDefault="00E40F1F" w:rsidP="00D30C38">
      <w:pPr>
        <w:spacing w:line="288" w:lineRule="auto"/>
        <w:rPr>
          <w:iCs/>
          <w:sz w:val="24"/>
        </w:rPr>
      </w:pPr>
      <w:r>
        <w:rPr>
          <w:iCs/>
          <w:sz w:val="24"/>
        </w:rPr>
        <w:t>Vederlagskravet, som efter gældende regler udgør et grundbeløb på 69.300 kr. (2010-niveau), foreslås nedsat til 59.500 kr.</w:t>
      </w:r>
      <w:r w:rsidR="00D30C38">
        <w:rPr>
          <w:iCs/>
          <w:sz w:val="24"/>
        </w:rPr>
        <w:t xml:space="preserve"> (2010-niveau). For</w:t>
      </w:r>
      <w:r>
        <w:rPr>
          <w:iCs/>
          <w:sz w:val="24"/>
        </w:rPr>
        <w:t xml:space="preserve"> 2014 svarer</w:t>
      </w:r>
      <w:r w:rsidR="00D30C38">
        <w:rPr>
          <w:iCs/>
          <w:sz w:val="24"/>
        </w:rPr>
        <w:t xml:space="preserve"> det</w:t>
      </w:r>
      <w:r>
        <w:rPr>
          <w:iCs/>
          <w:sz w:val="24"/>
        </w:rPr>
        <w:t xml:space="preserve"> til en nedsættelse </w:t>
      </w:r>
      <w:r w:rsidR="00D30C38">
        <w:rPr>
          <w:iCs/>
          <w:sz w:val="24"/>
        </w:rPr>
        <w:t xml:space="preserve">med 10.000 kr. </w:t>
      </w:r>
      <w:r>
        <w:rPr>
          <w:iCs/>
          <w:sz w:val="24"/>
        </w:rPr>
        <w:t>fra 70.600 kr. til 60.600 kr. månedligt</w:t>
      </w:r>
      <w:r w:rsidR="00645582">
        <w:rPr>
          <w:iCs/>
          <w:sz w:val="24"/>
        </w:rPr>
        <w:t xml:space="preserve"> ekskl. pensionsbidrag</w:t>
      </w:r>
      <w:r>
        <w:rPr>
          <w:iCs/>
          <w:sz w:val="24"/>
        </w:rPr>
        <w:t>.</w:t>
      </w:r>
    </w:p>
    <w:p w:rsidR="00376FD2" w:rsidRDefault="00376FD2" w:rsidP="00376FD2">
      <w:pPr>
        <w:rPr>
          <w:sz w:val="24"/>
        </w:rPr>
      </w:pPr>
    </w:p>
    <w:p w:rsidR="00E40F1F" w:rsidRDefault="00E40F1F" w:rsidP="00E40F1F">
      <w:pPr>
        <w:jc w:val="both"/>
        <w:rPr>
          <w:sz w:val="24"/>
        </w:rPr>
      </w:pPr>
    </w:p>
    <w:p w:rsidR="00E40F1F" w:rsidRDefault="00E40F1F" w:rsidP="00E40F1F">
      <w:pPr>
        <w:jc w:val="both"/>
        <w:rPr>
          <w:sz w:val="24"/>
        </w:rPr>
      </w:pPr>
    </w:p>
    <w:p w:rsidR="00E40F1F" w:rsidRPr="00BC172D" w:rsidRDefault="00E40F1F" w:rsidP="00E40F1F">
      <w:pPr>
        <w:jc w:val="center"/>
        <w:rPr>
          <w:i/>
          <w:iCs/>
          <w:sz w:val="24"/>
        </w:rPr>
      </w:pPr>
      <w:r>
        <w:rPr>
          <w:i/>
          <w:iCs/>
          <w:sz w:val="24"/>
        </w:rPr>
        <w:t>Til § 2</w:t>
      </w:r>
    </w:p>
    <w:p w:rsidR="00E40F1F" w:rsidRPr="00BC172D" w:rsidRDefault="00E40F1F" w:rsidP="00E40F1F">
      <w:pPr>
        <w:jc w:val="both"/>
        <w:rPr>
          <w:sz w:val="24"/>
        </w:rPr>
      </w:pPr>
    </w:p>
    <w:p w:rsidR="00E40F1F" w:rsidRDefault="00E40F1F" w:rsidP="00D30C38">
      <w:pPr>
        <w:spacing w:line="288" w:lineRule="auto"/>
        <w:jc w:val="both"/>
        <w:rPr>
          <w:sz w:val="24"/>
        </w:rPr>
      </w:pPr>
      <w:r>
        <w:rPr>
          <w:sz w:val="24"/>
        </w:rPr>
        <w:t xml:space="preserve">Det foreslås i stk. 1, at </w:t>
      </w:r>
      <w:r w:rsidRPr="00600AAC">
        <w:rPr>
          <w:sz w:val="24"/>
        </w:rPr>
        <w:t>loven træder i kraft d</w:t>
      </w:r>
      <w:r w:rsidR="00D30C38" w:rsidRPr="00600AAC">
        <w:rPr>
          <w:sz w:val="24"/>
        </w:rPr>
        <w:t xml:space="preserve">en </w:t>
      </w:r>
      <w:r w:rsidR="00600AAC" w:rsidRPr="00600AAC">
        <w:rPr>
          <w:sz w:val="24"/>
        </w:rPr>
        <w:t xml:space="preserve">1. januar </w:t>
      </w:r>
      <w:r w:rsidR="00D30C38" w:rsidRPr="00600AAC">
        <w:rPr>
          <w:sz w:val="24"/>
        </w:rPr>
        <w:t>201</w:t>
      </w:r>
      <w:r w:rsidR="00600AAC" w:rsidRPr="00600AAC">
        <w:rPr>
          <w:sz w:val="24"/>
        </w:rPr>
        <w:t>5</w:t>
      </w:r>
      <w:r>
        <w:rPr>
          <w:sz w:val="24"/>
        </w:rPr>
        <w:t xml:space="preserve">. </w:t>
      </w:r>
    </w:p>
    <w:p w:rsidR="00E40F1F" w:rsidRDefault="00E40F1F" w:rsidP="00E40F1F">
      <w:pPr>
        <w:ind w:right="1"/>
        <w:jc w:val="both"/>
        <w:rPr>
          <w:sz w:val="24"/>
        </w:rPr>
      </w:pPr>
    </w:p>
    <w:p w:rsidR="00E40F1F" w:rsidRDefault="00E40F1F" w:rsidP="00E40F1F">
      <w:pPr>
        <w:ind w:right="1"/>
        <w:jc w:val="both"/>
        <w:rPr>
          <w:sz w:val="24"/>
        </w:rPr>
      </w:pPr>
      <w:r>
        <w:rPr>
          <w:sz w:val="24"/>
        </w:rPr>
        <w:t>Det foreslås i stk. 2, at loven får virkning fra</w:t>
      </w:r>
      <w:r w:rsidR="00D30C38">
        <w:rPr>
          <w:sz w:val="24"/>
        </w:rPr>
        <w:t xml:space="preserve"> og med</w:t>
      </w:r>
      <w:r>
        <w:rPr>
          <w:sz w:val="24"/>
        </w:rPr>
        <w:t xml:space="preserve"> indkomståret 2015.</w:t>
      </w:r>
    </w:p>
    <w:p w:rsidR="00197D76" w:rsidRDefault="00197D76" w:rsidP="00E40F1F">
      <w:pPr>
        <w:ind w:right="1"/>
        <w:jc w:val="both"/>
        <w:rPr>
          <w:sz w:val="24"/>
        </w:rPr>
      </w:pPr>
    </w:p>
    <w:p w:rsidR="00197D76" w:rsidRDefault="00197D76" w:rsidP="00B80C52">
      <w:pPr>
        <w:tabs>
          <w:tab w:val="left" w:pos="0"/>
          <w:tab w:val="left" w:pos="900"/>
        </w:tabs>
        <w:spacing w:line="288" w:lineRule="auto"/>
        <w:ind w:right="1"/>
        <w:jc w:val="both"/>
        <w:rPr>
          <w:sz w:val="24"/>
        </w:rPr>
      </w:pPr>
      <w:r w:rsidRPr="006766D6">
        <w:rPr>
          <w:sz w:val="24"/>
        </w:rPr>
        <w:t xml:space="preserve">De foreslåede bestemmelser </w:t>
      </w:r>
      <w:r w:rsidR="00B80C52">
        <w:rPr>
          <w:sz w:val="24"/>
        </w:rPr>
        <w:t xml:space="preserve">i stk. 3 og 4 </w:t>
      </w:r>
      <w:r w:rsidRPr="006766D6">
        <w:rPr>
          <w:sz w:val="24"/>
        </w:rPr>
        <w:t>indebærer, at de økonomiske virkninger af lovforslaget for indkomståret 2015 neutraliseres</w:t>
      </w:r>
      <w:r>
        <w:rPr>
          <w:sz w:val="24"/>
        </w:rPr>
        <w:t xml:space="preserve"> </w:t>
      </w:r>
      <w:r w:rsidRPr="006766D6">
        <w:rPr>
          <w:sz w:val="24"/>
        </w:rPr>
        <w:t>for kommunerne og folkekirken</w:t>
      </w:r>
      <w:r>
        <w:rPr>
          <w:sz w:val="24"/>
        </w:rPr>
        <w:t>,</w:t>
      </w:r>
      <w:r w:rsidRPr="006766D6">
        <w:rPr>
          <w:sz w:val="24"/>
        </w:rPr>
        <w:t xml:space="preserve"> for så vidt angår de kommuner, der for 2015 vælger at budgettere med deres eget skøn over udskrivningsgrundlaget for den personlige indkomstskat.</w:t>
      </w:r>
    </w:p>
    <w:p w:rsidR="00A85054" w:rsidRDefault="00A85054" w:rsidP="00B80C52">
      <w:pPr>
        <w:tabs>
          <w:tab w:val="left" w:pos="0"/>
          <w:tab w:val="left" w:pos="900"/>
        </w:tabs>
        <w:spacing w:line="288" w:lineRule="auto"/>
        <w:ind w:right="1"/>
        <w:jc w:val="both"/>
        <w:rPr>
          <w:sz w:val="24"/>
        </w:rPr>
      </w:pPr>
    </w:p>
    <w:p w:rsidR="00A85054" w:rsidRPr="006766D6" w:rsidRDefault="00A85054" w:rsidP="00B80C52">
      <w:pPr>
        <w:tabs>
          <w:tab w:val="left" w:pos="0"/>
          <w:tab w:val="left" w:pos="900"/>
        </w:tabs>
        <w:spacing w:line="288" w:lineRule="auto"/>
        <w:ind w:right="1"/>
        <w:jc w:val="both"/>
        <w:rPr>
          <w:sz w:val="24"/>
        </w:rPr>
      </w:pPr>
      <w:r w:rsidRPr="006766D6">
        <w:rPr>
          <w:sz w:val="24"/>
        </w:rPr>
        <w:t>Det skyldes, at det tidsmæssigt ikke har været muligt at indarbejde konsekvenserne af lovforslaget i det statsgaranterede</w:t>
      </w:r>
      <w:r>
        <w:rPr>
          <w:sz w:val="24"/>
        </w:rPr>
        <w:t xml:space="preserve"> </w:t>
      </w:r>
      <w:r w:rsidRPr="006766D6">
        <w:rPr>
          <w:sz w:val="24"/>
        </w:rPr>
        <w:t xml:space="preserve">kommunale udskrivningsgrundlag for 2015. </w:t>
      </w:r>
    </w:p>
    <w:p w:rsidR="00A85054" w:rsidRPr="006766D6" w:rsidRDefault="00A85054" w:rsidP="00B80C52">
      <w:pPr>
        <w:tabs>
          <w:tab w:val="left" w:pos="0"/>
          <w:tab w:val="left" w:pos="900"/>
        </w:tabs>
        <w:spacing w:line="288" w:lineRule="auto"/>
        <w:ind w:right="1"/>
        <w:jc w:val="both"/>
        <w:rPr>
          <w:sz w:val="24"/>
        </w:rPr>
      </w:pPr>
    </w:p>
    <w:p w:rsidR="00A85054" w:rsidRDefault="00A85054" w:rsidP="00B80C52">
      <w:pPr>
        <w:tabs>
          <w:tab w:val="left" w:pos="0"/>
          <w:tab w:val="left" w:pos="900"/>
        </w:tabs>
        <w:spacing w:line="288" w:lineRule="auto"/>
        <w:ind w:right="1"/>
        <w:jc w:val="both"/>
        <w:rPr>
          <w:sz w:val="24"/>
        </w:rPr>
      </w:pPr>
      <w:r w:rsidRPr="006766D6">
        <w:rPr>
          <w:sz w:val="24"/>
        </w:rPr>
        <w:t xml:space="preserve">Den foreslåede </w:t>
      </w:r>
      <w:r>
        <w:rPr>
          <w:sz w:val="24"/>
        </w:rPr>
        <w:t>nedsættelse af vederlagskravet</w:t>
      </w:r>
      <w:r w:rsidRPr="006766D6">
        <w:rPr>
          <w:sz w:val="24"/>
        </w:rPr>
        <w:t xml:space="preserve"> vil medføre et fald i udskrivningsgrundlaget i forhold til det udmeldte statsgaranterede udskrivningsgrundlag</w:t>
      </w:r>
      <w:r>
        <w:rPr>
          <w:sz w:val="24"/>
        </w:rPr>
        <w:t xml:space="preserve">, jf. også bemærkningerne om de økonomiske konsekvenser for kommunerne i </w:t>
      </w:r>
      <w:r w:rsidR="00B80C52">
        <w:rPr>
          <w:sz w:val="24"/>
        </w:rPr>
        <w:t xml:space="preserve">lovforslagets </w:t>
      </w:r>
      <w:r>
        <w:rPr>
          <w:sz w:val="24"/>
        </w:rPr>
        <w:t>afsnit 5.</w:t>
      </w:r>
    </w:p>
    <w:p w:rsidR="00A85054" w:rsidRDefault="00A85054" w:rsidP="00B80C52">
      <w:pPr>
        <w:tabs>
          <w:tab w:val="left" w:pos="0"/>
          <w:tab w:val="left" w:pos="900"/>
        </w:tabs>
        <w:spacing w:line="288" w:lineRule="auto"/>
        <w:ind w:right="1"/>
        <w:jc w:val="both"/>
        <w:rPr>
          <w:sz w:val="24"/>
        </w:rPr>
      </w:pPr>
    </w:p>
    <w:p w:rsidR="00A85054" w:rsidRPr="006766D6" w:rsidRDefault="00A85054" w:rsidP="00B80C52">
      <w:pPr>
        <w:tabs>
          <w:tab w:val="left" w:pos="0"/>
          <w:tab w:val="left" w:pos="900"/>
        </w:tabs>
        <w:spacing w:line="288" w:lineRule="auto"/>
        <w:ind w:right="1"/>
        <w:jc w:val="both"/>
        <w:rPr>
          <w:sz w:val="24"/>
        </w:rPr>
      </w:pPr>
      <w:r w:rsidRPr="006766D6">
        <w:rPr>
          <w:sz w:val="24"/>
        </w:rPr>
        <w:t xml:space="preserve">For </w:t>
      </w:r>
      <w:r>
        <w:rPr>
          <w:sz w:val="24"/>
        </w:rPr>
        <w:t xml:space="preserve">de af </w:t>
      </w:r>
      <w:r w:rsidRPr="006766D6">
        <w:rPr>
          <w:sz w:val="24"/>
        </w:rPr>
        <w:t>kommuner</w:t>
      </w:r>
      <w:r>
        <w:rPr>
          <w:sz w:val="24"/>
        </w:rPr>
        <w:t>ne</w:t>
      </w:r>
      <w:r w:rsidRPr="006766D6">
        <w:rPr>
          <w:sz w:val="24"/>
        </w:rPr>
        <w:t xml:space="preserve">, der </w:t>
      </w:r>
      <w:r>
        <w:rPr>
          <w:sz w:val="24"/>
        </w:rPr>
        <w:t xml:space="preserve">evt. </w:t>
      </w:r>
      <w:r w:rsidRPr="006766D6">
        <w:rPr>
          <w:sz w:val="24"/>
        </w:rPr>
        <w:t>for 2015 vælger at budgettere med deres eget skøn over udskrivningsgrundlaget, vil efterreguleringen af indkomstskatten, herunder også kirkeskatten, for 2015, som opgøres i 2017 og afregnes i 2018, blive korrigeret efter denne bestemmelse.</w:t>
      </w:r>
    </w:p>
    <w:p w:rsidR="00A85054" w:rsidRPr="006766D6" w:rsidRDefault="00A85054" w:rsidP="00197D76">
      <w:pPr>
        <w:tabs>
          <w:tab w:val="left" w:pos="0"/>
          <w:tab w:val="left" w:pos="900"/>
        </w:tabs>
        <w:spacing w:line="288" w:lineRule="auto"/>
        <w:ind w:right="1"/>
        <w:rPr>
          <w:sz w:val="24"/>
        </w:rPr>
      </w:pPr>
    </w:p>
    <w:p w:rsidR="00197D76" w:rsidRDefault="00197D76" w:rsidP="00E40F1F">
      <w:pPr>
        <w:ind w:right="1"/>
        <w:jc w:val="both"/>
        <w:rPr>
          <w:sz w:val="24"/>
        </w:rPr>
      </w:pPr>
    </w:p>
    <w:p w:rsidR="00E40F1F" w:rsidRDefault="00E40F1F" w:rsidP="00E40F1F">
      <w:pPr>
        <w:ind w:right="1"/>
        <w:jc w:val="both"/>
        <w:rPr>
          <w:sz w:val="24"/>
        </w:rPr>
      </w:pPr>
    </w:p>
    <w:p w:rsidR="00E40F1F" w:rsidRDefault="00E40F1F" w:rsidP="00E40F1F">
      <w:pPr>
        <w:ind w:right="1"/>
        <w:jc w:val="both"/>
        <w:rPr>
          <w:color w:val="FF0000"/>
          <w:sz w:val="24"/>
        </w:rPr>
      </w:pPr>
    </w:p>
    <w:p w:rsidR="00E40F1F" w:rsidRDefault="00E40F1F" w:rsidP="00E40F1F">
      <w:pPr>
        <w:ind w:right="1"/>
        <w:jc w:val="both"/>
        <w:rPr>
          <w:color w:val="FF0000"/>
          <w:sz w:val="24"/>
        </w:rPr>
      </w:pPr>
    </w:p>
    <w:p w:rsidR="00E40F1F" w:rsidRPr="00BC172D" w:rsidRDefault="00E40F1F" w:rsidP="00E40F1F">
      <w:pPr>
        <w:ind w:right="1"/>
        <w:jc w:val="both"/>
        <w:rPr>
          <w:sz w:val="24"/>
        </w:rPr>
      </w:pPr>
    </w:p>
    <w:p w:rsidR="00E40F1F" w:rsidRDefault="00E40F1F" w:rsidP="00E40F1F">
      <w:pPr>
        <w:jc w:val="both"/>
        <w:rPr>
          <w:sz w:val="24"/>
        </w:rPr>
      </w:pPr>
    </w:p>
    <w:p w:rsidR="00E40F1F" w:rsidRPr="00BC172D" w:rsidRDefault="00E40F1F" w:rsidP="00E40F1F">
      <w:pPr>
        <w:ind w:right="1"/>
        <w:rPr>
          <w:sz w:val="24"/>
        </w:rPr>
      </w:pPr>
    </w:p>
    <w:p w:rsidR="00E40F1F" w:rsidRPr="00BC172D" w:rsidRDefault="00E40F1F" w:rsidP="00E40F1F">
      <w:pPr>
        <w:tabs>
          <w:tab w:val="left" w:pos="0"/>
          <w:tab w:val="left" w:pos="900"/>
        </w:tabs>
        <w:ind w:right="1"/>
        <w:jc w:val="right"/>
        <w:rPr>
          <w:sz w:val="24"/>
        </w:rPr>
      </w:pPr>
      <w:r w:rsidRPr="00BC172D">
        <w:rPr>
          <w:sz w:val="24"/>
        </w:rPr>
        <w:tab/>
      </w:r>
    </w:p>
    <w:p w:rsidR="00E40F1F" w:rsidRPr="00BC172D" w:rsidRDefault="00E40F1F" w:rsidP="00D30C38">
      <w:pPr>
        <w:tabs>
          <w:tab w:val="left" w:pos="0"/>
          <w:tab w:val="left" w:pos="900"/>
        </w:tabs>
        <w:ind w:right="1"/>
        <w:jc w:val="center"/>
        <w:rPr>
          <w:sz w:val="24"/>
        </w:rPr>
      </w:pPr>
      <w:r w:rsidRPr="00BC172D">
        <w:rPr>
          <w:sz w:val="24"/>
        </w:rPr>
        <w:br w:type="page"/>
      </w:r>
      <w:r w:rsidRPr="00BC172D" w:rsidDel="00CF4AB4">
        <w:rPr>
          <w:b/>
          <w:bCs/>
          <w:sz w:val="24"/>
        </w:rPr>
        <w:lastRenderedPageBreak/>
        <w:t xml:space="preserve"> </w:t>
      </w:r>
    </w:p>
    <w:p w:rsidR="00E40F1F" w:rsidRPr="00912739" w:rsidRDefault="00E40F1F" w:rsidP="00E40F1F">
      <w:pPr>
        <w:ind w:right="1"/>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D30C38">
        <w:rPr>
          <w:b/>
          <w:sz w:val="24"/>
        </w:rPr>
        <w:t>Bilag 1</w:t>
      </w:r>
    </w:p>
    <w:p w:rsidR="00E40F1F" w:rsidRDefault="00E40F1F" w:rsidP="00E40F1F">
      <w:pPr>
        <w:ind w:left="720" w:firstLine="720"/>
        <w:rPr>
          <w:b/>
          <w:bCs/>
          <w:sz w:val="24"/>
        </w:rPr>
      </w:pPr>
    </w:p>
    <w:p w:rsidR="00E40F1F" w:rsidRPr="00BC172D" w:rsidRDefault="00E40F1F" w:rsidP="00E40F1F">
      <w:pPr>
        <w:ind w:left="1440" w:firstLine="720"/>
        <w:rPr>
          <w:b/>
          <w:bCs/>
          <w:sz w:val="24"/>
        </w:rPr>
      </w:pPr>
      <w:r>
        <w:rPr>
          <w:b/>
          <w:bCs/>
          <w:sz w:val="24"/>
        </w:rPr>
        <w:t>Lovforslaget sammenholdt med gældende lov</w:t>
      </w:r>
    </w:p>
    <w:tbl>
      <w:tblPr>
        <w:tblW w:w="0" w:type="auto"/>
        <w:tblLook w:val="0000" w:firstRow="0" w:lastRow="0" w:firstColumn="0" w:lastColumn="0" w:noHBand="0" w:noVBand="0"/>
      </w:tblPr>
      <w:tblGrid>
        <w:gridCol w:w="3984"/>
        <w:gridCol w:w="3985"/>
      </w:tblGrid>
      <w:tr w:rsidR="00E40F1F" w:rsidRPr="00BC172D" w:rsidTr="00CF5BF0">
        <w:tc>
          <w:tcPr>
            <w:tcW w:w="3984" w:type="dxa"/>
          </w:tcPr>
          <w:p w:rsidR="00E40F1F" w:rsidRDefault="00E40F1F" w:rsidP="00CF5BF0">
            <w:pPr>
              <w:rPr>
                <w:b/>
                <w:bCs/>
                <w:sz w:val="24"/>
              </w:rPr>
            </w:pPr>
          </w:p>
          <w:p w:rsidR="00E40F1F" w:rsidRPr="00BC172D" w:rsidRDefault="00E40F1F" w:rsidP="00CF5BF0">
            <w:pPr>
              <w:rPr>
                <w:b/>
                <w:bCs/>
                <w:sz w:val="24"/>
              </w:rPr>
            </w:pPr>
          </w:p>
          <w:p w:rsidR="00E40F1F" w:rsidRPr="00BC172D" w:rsidRDefault="00E40F1F" w:rsidP="00D30C38">
            <w:pPr>
              <w:jc w:val="center"/>
              <w:rPr>
                <w:b/>
                <w:bCs/>
                <w:sz w:val="24"/>
              </w:rPr>
            </w:pPr>
            <w:r>
              <w:rPr>
                <w:bCs/>
                <w:i/>
                <w:sz w:val="24"/>
              </w:rPr>
              <w:t>Gældende formulering</w:t>
            </w:r>
          </w:p>
        </w:tc>
        <w:tc>
          <w:tcPr>
            <w:tcW w:w="3985" w:type="dxa"/>
          </w:tcPr>
          <w:p w:rsidR="00E40F1F" w:rsidRPr="00BC172D" w:rsidRDefault="00E40F1F" w:rsidP="00CF5BF0">
            <w:pPr>
              <w:rPr>
                <w:b/>
                <w:bCs/>
                <w:sz w:val="24"/>
              </w:rPr>
            </w:pPr>
          </w:p>
          <w:p w:rsidR="00E40F1F" w:rsidRDefault="00E40F1F" w:rsidP="00CF5BF0">
            <w:pPr>
              <w:rPr>
                <w:b/>
                <w:bCs/>
                <w:sz w:val="24"/>
              </w:rPr>
            </w:pPr>
            <w:r w:rsidRPr="00BC172D">
              <w:rPr>
                <w:b/>
                <w:bCs/>
                <w:sz w:val="24"/>
              </w:rPr>
              <w:t xml:space="preserve"> </w:t>
            </w:r>
          </w:p>
          <w:p w:rsidR="00E40F1F" w:rsidRPr="00912739" w:rsidRDefault="00E40F1F" w:rsidP="00D30C38">
            <w:pPr>
              <w:jc w:val="center"/>
              <w:rPr>
                <w:bCs/>
                <w:i/>
                <w:sz w:val="24"/>
              </w:rPr>
            </w:pPr>
            <w:r>
              <w:rPr>
                <w:bCs/>
                <w:i/>
                <w:sz w:val="24"/>
              </w:rPr>
              <w:t>Lovforslaget</w:t>
            </w:r>
          </w:p>
          <w:p w:rsidR="00E40F1F" w:rsidRPr="00BC172D" w:rsidRDefault="00E40F1F" w:rsidP="00CF5BF0">
            <w:pPr>
              <w:rPr>
                <w:b/>
                <w:bCs/>
                <w:sz w:val="24"/>
              </w:rPr>
            </w:pPr>
          </w:p>
        </w:tc>
      </w:tr>
      <w:tr w:rsidR="00E40F1F" w:rsidRPr="00BC172D" w:rsidTr="00CF5BF0">
        <w:tc>
          <w:tcPr>
            <w:tcW w:w="3984" w:type="dxa"/>
          </w:tcPr>
          <w:p w:rsidR="00E40F1F" w:rsidRPr="00BC172D" w:rsidRDefault="00E40F1F" w:rsidP="00CF5BF0">
            <w:pPr>
              <w:rPr>
                <w:b/>
                <w:bCs/>
                <w:sz w:val="24"/>
              </w:rPr>
            </w:pPr>
          </w:p>
          <w:p w:rsidR="00E40F1F" w:rsidRPr="00BC172D" w:rsidRDefault="00E40F1F" w:rsidP="00CF5BF0">
            <w:pPr>
              <w:rPr>
                <w:b/>
                <w:bCs/>
                <w:sz w:val="24"/>
              </w:rPr>
            </w:pPr>
          </w:p>
        </w:tc>
        <w:tc>
          <w:tcPr>
            <w:tcW w:w="3985" w:type="dxa"/>
          </w:tcPr>
          <w:p w:rsidR="00E40F1F" w:rsidRPr="00BC172D" w:rsidRDefault="00E40F1F" w:rsidP="00CF5BF0">
            <w:pPr>
              <w:rPr>
                <w:b/>
                <w:bCs/>
                <w:sz w:val="24"/>
              </w:rPr>
            </w:pPr>
          </w:p>
          <w:p w:rsidR="00E40F1F" w:rsidRPr="00BC172D" w:rsidRDefault="00E40F1F" w:rsidP="00D30C38">
            <w:pPr>
              <w:jc w:val="center"/>
              <w:rPr>
                <w:b/>
                <w:bCs/>
                <w:sz w:val="24"/>
              </w:rPr>
            </w:pPr>
            <w:r>
              <w:rPr>
                <w:b/>
                <w:bCs/>
                <w:sz w:val="24"/>
              </w:rPr>
              <w:t>§ 1</w:t>
            </w:r>
          </w:p>
        </w:tc>
      </w:tr>
      <w:tr w:rsidR="00E40F1F" w:rsidRPr="00BC172D" w:rsidTr="00CF5BF0">
        <w:tc>
          <w:tcPr>
            <w:tcW w:w="3984" w:type="dxa"/>
          </w:tcPr>
          <w:p w:rsidR="00E40F1F" w:rsidRDefault="00E40F1F" w:rsidP="00CF5BF0">
            <w:pPr>
              <w:pStyle w:val="paragraf"/>
              <w:rPr>
                <w:rFonts w:ascii="Times New Roman" w:hAnsi="Times New Roman" w:cs="Times New Roman"/>
                <w:b/>
              </w:rPr>
            </w:pPr>
          </w:p>
          <w:p w:rsidR="00E40F1F" w:rsidRDefault="00E40F1F" w:rsidP="00CF5BF0">
            <w:pPr>
              <w:pStyle w:val="paragraf"/>
              <w:ind w:firstLine="0"/>
              <w:rPr>
                <w:rFonts w:ascii="Times New Roman" w:hAnsi="Times New Roman" w:cs="Times New Roman"/>
                <w:b/>
              </w:rPr>
            </w:pPr>
          </w:p>
          <w:p w:rsidR="00E40F1F" w:rsidRDefault="00E40F1F" w:rsidP="00CF5BF0">
            <w:pPr>
              <w:pStyle w:val="paragraf"/>
              <w:ind w:firstLine="0"/>
              <w:rPr>
                <w:rFonts w:ascii="Times New Roman" w:hAnsi="Times New Roman" w:cs="Times New Roman"/>
                <w:b/>
              </w:rPr>
            </w:pPr>
          </w:p>
          <w:p w:rsidR="000854A9" w:rsidRDefault="000854A9" w:rsidP="00CF5BF0">
            <w:pPr>
              <w:pStyle w:val="paragraf"/>
              <w:ind w:firstLine="0"/>
              <w:rPr>
                <w:rFonts w:ascii="Times New Roman" w:hAnsi="Times New Roman" w:cs="Times New Roman"/>
                <w:b/>
              </w:rPr>
            </w:pPr>
          </w:p>
          <w:p w:rsidR="00E40F1F" w:rsidRDefault="00E40F1F" w:rsidP="00CF5BF0">
            <w:pPr>
              <w:pStyle w:val="paragraf"/>
              <w:ind w:firstLine="0"/>
              <w:rPr>
                <w:rFonts w:ascii="Times New Roman" w:hAnsi="Times New Roman" w:cs="Times New Roman"/>
                <w:b/>
              </w:rPr>
            </w:pPr>
          </w:p>
          <w:p w:rsidR="00E40F1F" w:rsidRDefault="00E40F1F" w:rsidP="004C19A8">
            <w:pPr>
              <w:rPr>
                <w:b/>
                <w:sz w:val="24"/>
              </w:rPr>
            </w:pPr>
            <w:r w:rsidRPr="003E7C9C">
              <w:rPr>
                <w:b/>
                <w:sz w:val="24"/>
              </w:rPr>
              <w:t xml:space="preserve">§ 48 E. </w:t>
            </w:r>
          </w:p>
          <w:p w:rsidR="00E40F1F" w:rsidRPr="003E7C9C" w:rsidRDefault="00C43BE5" w:rsidP="00C43BE5">
            <w:pPr>
              <w:rPr>
                <w:sz w:val="24"/>
              </w:rPr>
            </w:pPr>
            <w:r>
              <w:rPr>
                <w:i/>
                <w:sz w:val="24"/>
              </w:rPr>
              <w:t xml:space="preserve">Stk. 3. </w:t>
            </w:r>
            <w:r>
              <w:rPr>
                <w:sz w:val="24"/>
              </w:rPr>
              <w:t>Det er en betingelse for anvendelsen af stk. 1, at</w:t>
            </w:r>
          </w:p>
          <w:p w:rsidR="00E40F1F" w:rsidRPr="003E7C9C" w:rsidRDefault="00E40F1F" w:rsidP="000D1EC9">
            <w:pPr>
              <w:keepLines/>
              <w:widowControl/>
              <w:numPr>
                <w:ilvl w:val="0"/>
                <w:numId w:val="7"/>
              </w:numPr>
              <w:autoSpaceDE/>
              <w:autoSpaceDN/>
              <w:adjustRightInd/>
              <w:ind w:left="714" w:hanging="357"/>
              <w:contextualSpacing/>
              <w:rPr>
                <w:sz w:val="24"/>
              </w:rPr>
            </w:pPr>
            <w:r w:rsidRPr="003E7C9C">
              <w:rPr>
                <w:sz w:val="24"/>
              </w:rPr>
              <w:t>den skattepligtige ikke inden for de seneste 10 år forud for ansættelsen har været skattepligtig efter § 1 eller § 2, stk. 1, nr. 1-4, 7 eller 9-29, eller stk. 2, jf. dog stk. 5,</w:t>
            </w:r>
          </w:p>
          <w:p w:rsidR="00E40F1F" w:rsidRPr="003E7C9C" w:rsidRDefault="00E40F1F" w:rsidP="000D1EC9">
            <w:pPr>
              <w:keepLines/>
              <w:widowControl/>
              <w:numPr>
                <w:ilvl w:val="0"/>
                <w:numId w:val="7"/>
              </w:numPr>
              <w:autoSpaceDE/>
              <w:autoSpaceDN/>
              <w:adjustRightInd/>
              <w:ind w:left="714" w:hanging="357"/>
              <w:contextualSpacing/>
              <w:rPr>
                <w:sz w:val="24"/>
              </w:rPr>
            </w:pPr>
            <w:r w:rsidRPr="003E7C9C">
              <w:rPr>
                <w:sz w:val="24"/>
              </w:rPr>
              <w:t xml:space="preserve">den skattepligtige ikke har eller inden for de seneste 5 år forud for ansættelsen har haft direkte eller indirekte del i ledelsen af, kontrollen med eller væsentlig indflydelse på den virksomhed, med hvilken ansættelsesforholdet er indgået, jf. § 43, stk. 2, litra i, 3.-6. pkt. </w:t>
            </w:r>
          </w:p>
          <w:p w:rsidR="00E40F1F" w:rsidRDefault="00E40F1F" w:rsidP="000D1EC9">
            <w:pPr>
              <w:keepLines/>
              <w:widowControl/>
              <w:numPr>
                <w:ilvl w:val="0"/>
                <w:numId w:val="7"/>
              </w:numPr>
              <w:autoSpaceDE/>
              <w:autoSpaceDN/>
              <w:adjustRightInd/>
              <w:ind w:left="714" w:hanging="357"/>
              <w:contextualSpacing/>
              <w:rPr>
                <w:sz w:val="24"/>
              </w:rPr>
            </w:pPr>
            <w:r w:rsidRPr="003E7C9C">
              <w:rPr>
                <w:sz w:val="24"/>
              </w:rPr>
              <w:t>vederlaget i penge i henhold til ansættelseskontrakten som et gennemsnit inden for samme kalenderår udgør et grundbeløb på mindst 69.300 kr. (2010-niveau) om måneden, hvilket reguleres efter personskattelovens § 20, hvortil kommer bidrag efter lov om Arbejdsmarkedets Tillægspension, jf. dog stk. 4.</w:t>
            </w:r>
          </w:p>
          <w:p w:rsidR="00E40F1F" w:rsidRPr="003E7C9C" w:rsidRDefault="00E40F1F" w:rsidP="00CF5BF0">
            <w:pPr>
              <w:widowControl/>
              <w:autoSpaceDE/>
              <w:autoSpaceDN/>
              <w:adjustRightInd/>
              <w:rPr>
                <w:color w:val="000000"/>
                <w:sz w:val="24"/>
              </w:rPr>
            </w:pPr>
          </w:p>
          <w:p w:rsidR="00E40F1F" w:rsidRPr="00E83F06" w:rsidRDefault="00E40F1F" w:rsidP="00CF5BF0">
            <w:pPr>
              <w:rPr>
                <w:b/>
                <w:bCs/>
                <w:sz w:val="24"/>
              </w:rPr>
            </w:pPr>
          </w:p>
        </w:tc>
        <w:tc>
          <w:tcPr>
            <w:tcW w:w="3985" w:type="dxa"/>
          </w:tcPr>
          <w:p w:rsidR="00E40F1F" w:rsidRDefault="00E40F1F" w:rsidP="000D1EC9">
            <w:pPr>
              <w:ind w:left="113" w:firstLine="624"/>
              <w:rPr>
                <w:sz w:val="24"/>
              </w:rPr>
            </w:pPr>
            <w:r w:rsidRPr="00E83F06">
              <w:rPr>
                <w:sz w:val="24"/>
              </w:rPr>
              <w:lastRenderedPageBreak/>
              <w:t xml:space="preserve">I kildeskatteloven, jf. lovbekendtgørelse nr. 1403 af 7. december 2010, som ændret bl.a. ved </w:t>
            </w:r>
            <w:r w:rsidR="00D30C38">
              <w:rPr>
                <w:sz w:val="24"/>
              </w:rPr>
              <w:t>§ 1 i lov nr. 1565 af 21. december 2010, § 5 i lov nr. 1395 af 23. december 2012, § 5 i lov nr. 792 af 28. juni 2013 og senest ved § 3 i lov nr. 274 af 26. marts 2014, foretages følgende ændring:</w:t>
            </w:r>
          </w:p>
          <w:p w:rsidR="00E40F1F" w:rsidRDefault="00E40F1F" w:rsidP="000D1EC9">
            <w:pPr>
              <w:rPr>
                <w:sz w:val="24"/>
              </w:rPr>
            </w:pPr>
          </w:p>
          <w:p w:rsidR="00E40F1F" w:rsidRDefault="00E40F1F" w:rsidP="00CF5BF0">
            <w:pPr>
              <w:rPr>
                <w:sz w:val="24"/>
              </w:rPr>
            </w:pPr>
          </w:p>
          <w:p w:rsidR="00E40F1F" w:rsidRDefault="00E40F1F" w:rsidP="00CF5BF0">
            <w:pPr>
              <w:rPr>
                <w:sz w:val="24"/>
              </w:rPr>
            </w:pPr>
          </w:p>
          <w:p w:rsidR="00E40F1F" w:rsidRDefault="00E40F1F" w:rsidP="00CF5BF0">
            <w:pPr>
              <w:rPr>
                <w:sz w:val="24"/>
              </w:rPr>
            </w:pPr>
          </w:p>
          <w:p w:rsidR="00E40F1F" w:rsidRDefault="00E40F1F" w:rsidP="00CF5BF0">
            <w:pPr>
              <w:rPr>
                <w:sz w:val="24"/>
              </w:rPr>
            </w:pPr>
          </w:p>
          <w:p w:rsidR="00E40F1F" w:rsidRDefault="00E40F1F" w:rsidP="00CF5BF0">
            <w:pPr>
              <w:rPr>
                <w:sz w:val="24"/>
              </w:rPr>
            </w:pPr>
          </w:p>
          <w:p w:rsidR="00E40F1F" w:rsidRDefault="00E40F1F" w:rsidP="00CF5BF0">
            <w:pPr>
              <w:rPr>
                <w:sz w:val="24"/>
              </w:rPr>
            </w:pPr>
          </w:p>
          <w:p w:rsidR="00E40F1F" w:rsidRDefault="00E40F1F" w:rsidP="00CF5BF0">
            <w:pPr>
              <w:rPr>
                <w:sz w:val="24"/>
              </w:rPr>
            </w:pPr>
          </w:p>
          <w:p w:rsidR="00E40F1F" w:rsidRDefault="00E40F1F" w:rsidP="00CF5BF0">
            <w:pPr>
              <w:rPr>
                <w:sz w:val="24"/>
              </w:rPr>
            </w:pPr>
          </w:p>
          <w:p w:rsidR="00E40F1F" w:rsidRDefault="00E40F1F" w:rsidP="00CF5BF0">
            <w:pPr>
              <w:rPr>
                <w:b/>
                <w:sz w:val="24"/>
              </w:rPr>
            </w:pPr>
          </w:p>
          <w:p w:rsidR="00E40F1F" w:rsidRDefault="00E40F1F" w:rsidP="00CF5BF0">
            <w:pPr>
              <w:rPr>
                <w:b/>
                <w:sz w:val="24"/>
              </w:rPr>
            </w:pPr>
          </w:p>
          <w:p w:rsidR="00E40F1F" w:rsidRDefault="00E40F1F" w:rsidP="00CF5BF0">
            <w:pPr>
              <w:tabs>
                <w:tab w:val="left" w:pos="360"/>
              </w:tabs>
              <w:rPr>
                <w:b/>
                <w:bCs/>
                <w:sz w:val="24"/>
              </w:rPr>
            </w:pPr>
            <w:r>
              <w:rPr>
                <w:b/>
                <w:bCs/>
                <w:sz w:val="24"/>
              </w:rPr>
              <w:tab/>
            </w: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3137D8" w:rsidP="003137D8">
            <w:pPr>
              <w:rPr>
                <w:sz w:val="24"/>
              </w:rPr>
            </w:pPr>
            <w:r>
              <w:rPr>
                <w:b/>
                <w:sz w:val="24"/>
              </w:rPr>
              <w:t xml:space="preserve">1. </w:t>
            </w:r>
            <w:r w:rsidR="00E40F1F" w:rsidRPr="00A8592B">
              <w:rPr>
                <w:i/>
                <w:sz w:val="24"/>
              </w:rPr>
              <w:t>I § 48 E, stk. 3, nr. 3,</w:t>
            </w:r>
            <w:r w:rsidR="00E40F1F">
              <w:rPr>
                <w:sz w:val="24"/>
              </w:rPr>
              <w:t xml:space="preserve"> </w:t>
            </w:r>
            <w:r w:rsidR="0082718B">
              <w:rPr>
                <w:sz w:val="24"/>
              </w:rPr>
              <w:t>ændres ”69.300” til: ”59.500</w:t>
            </w:r>
            <w:r w:rsidR="00E40F1F">
              <w:rPr>
                <w:sz w:val="24"/>
              </w:rPr>
              <w:t>”.</w:t>
            </w:r>
          </w:p>
          <w:p w:rsidR="00E40F1F" w:rsidRDefault="00E40F1F" w:rsidP="00CF5BF0">
            <w:pPr>
              <w:tabs>
                <w:tab w:val="left" w:pos="360"/>
              </w:tabs>
              <w:rPr>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82718B" w:rsidP="00252BEB">
            <w:pPr>
              <w:tabs>
                <w:tab w:val="left" w:pos="360"/>
              </w:tabs>
              <w:jc w:val="center"/>
              <w:rPr>
                <w:b/>
                <w:sz w:val="24"/>
              </w:rPr>
            </w:pPr>
            <w:r>
              <w:rPr>
                <w:b/>
                <w:sz w:val="24"/>
              </w:rPr>
              <w:t>§2</w:t>
            </w:r>
          </w:p>
          <w:p w:rsidR="0082718B" w:rsidRDefault="0082718B" w:rsidP="00CF5BF0">
            <w:pPr>
              <w:tabs>
                <w:tab w:val="left" w:pos="360"/>
              </w:tabs>
              <w:rPr>
                <w:b/>
                <w:sz w:val="24"/>
              </w:rPr>
            </w:pPr>
          </w:p>
          <w:p w:rsidR="0082718B" w:rsidRPr="00252BEB" w:rsidRDefault="0082718B" w:rsidP="003331F3">
            <w:pPr>
              <w:tabs>
                <w:tab w:val="left" w:pos="360"/>
              </w:tabs>
              <w:rPr>
                <w:sz w:val="24"/>
              </w:rPr>
            </w:pPr>
            <w:r w:rsidRPr="00252BEB">
              <w:rPr>
                <w:sz w:val="24"/>
              </w:rPr>
              <w:t xml:space="preserve">Stk. 1. Loven træder i kraft den </w:t>
            </w:r>
            <w:r w:rsidR="003331F3">
              <w:rPr>
                <w:sz w:val="24"/>
              </w:rPr>
              <w:t xml:space="preserve">1. januar </w:t>
            </w:r>
            <w:r w:rsidRPr="00252BEB">
              <w:rPr>
                <w:sz w:val="24"/>
              </w:rPr>
              <w:t>201</w:t>
            </w:r>
            <w:r w:rsidR="003331F3">
              <w:rPr>
                <w:sz w:val="24"/>
              </w:rPr>
              <w:t>5</w:t>
            </w:r>
            <w:r w:rsidRPr="00252BEB">
              <w:rPr>
                <w:sz w:val="24"/>
              </w:rPr>
              <w:t>.</w:t>
            </w:r>
          </w:p>
          <w:p w:rsidR="0082718B" w:rsidRDefault="0082718B" w:rsidP="003331F3">
            <w:pPr>
              <w:tabs>
                <w:tab w:val="left" w:pos="360"/>
              </w:tabs>
              <w:rPr>
                <w:sz w:val="24"/>
              </w:rPr>
            </w:pPr>
            <w:r w:rsidRPr="00252BEB">
              <w:rPr>
                <w:sz w:val="24"/>
              </w:rPr>
              <w:t>Stk. 2. Loven har virkning fra og med indkomståret 2015.</w:t>
            </w:r>
          </w:p>
          <w:p w:rsidR="003331F3" w:rsidRDefault="003331F3" w:rsidP="003331F3">
            <w:pPr>
              <w:rPr>
                <w:iCs/>
                <w:sz w:val="24"/>
              </w:rPr>
            </w:pPr>
            <w:r w:rsidRPr="006766D6">
              <w:rPr>
                <w:i/>
                <w:iCs/>
                <w:sz w:val="24"/>
              </w:rPr>
              <w:t xml:space="preserve">Stk. </w:t>
            </w:r>
            <w:r>
              <w:rPr>
                <w:i/>
                <w:iCs/>
                <w:sz w:val="24"/>
              </w:rPr>
              <w:t>3</w:t>
            </w:r>
            <w:r w:rsidRPr="006766D6">
              <w:rPr>
                <w:i/>
                <w:iCs/>
                <w:sz w:val="24"/>
              </w:rPr>
              <w:t>.</w:t>
            </w:r>
            <w:r w:rsidRPr="006766D6">
              <w:rPr>
                <w:iCs/>
                <w:sz w:val="24"/>
              </w:rPr>
              <w:t xml:space="preserve"> Ved opgørelsen af en kommunes slutskat og kirkeskat for indkomståret 2015 efter § 16 i lov om kommunal indkomstskat korrigeres den opgjorte slutskat for den beregnede virkning af de ændringer i udskrivningsgrundlaget for kommuneskat og kirkeskat for 2015, der følger af </w:t>
            </w:r>
            <w:r>
              <w:rPr>
                <w:iCs/>
                <w:sz w:val="24"/>
              </w:rPr>
              <w:t>bestemmelsen i kildeskattelovens § 48 E</w:t>
            </w:r>
            <w:r w:rsidRPr="006766D6">
              <w:rPr>
                <w:iCs/>
                <w:sz w:val="24"/>
              </w:rPr>
              <w:t>, s</w:t>
            </w:r>
            <w:r>
              <w:rPr>
                <w:iCs/>
                <w:sz w:val="24"/>
              </w:rPr>
              <w:t>tk. 3, nr. 3, jf. denne lovs § 1</w:t>
            </w:r>
            <w:r w:rsidRPr="006766D6">
              <w:rPr>
                <w:iCs/>
                <w:sz w:val="24"/>
              </w:rPr>
              <w:t>.</w:t>
            </w:r>
          </w:p>
          <w:p w:rsidR="003331F3" w:rsidRDefault="003331F3" w:rsidP="003331F3">
            <w:pPr>
              <w:rPr>
                <w:i/>
                <w:iCs/>
                <w:sz w:val="28"/>
              </w:rPr>
            </w:pPr>
            <w:r w:rsidRPr="006766D6">
              <w:rPr>
                <w:i/>
                <w:iCs/>
                <w:sz w:val="24"/>
              </w:rPr>
              <w:t xml:space="preserve">Stk. </w:t>
            </w:r>
            <w:r>
              <w:rPr>
                <w:i/>
                <w:iCs/>
                <w:sz w:val="24"/>
              </w:rPr>
              <w:t>4</w:t>
            </w:r>
            <w:r w:rsidRPr="006766D6">
              <w:rPr>
                <w:i/>
                <w:iCs/>
                <w:sz w:val="24"/>
              </w:rPr>
              <w:t>.</w:t>
            </w:r>
            <w:r w:rsidRPr="006766D6">
              <w:rPr>
                <w:iCs/>
                <w:sz w:val="24"/>
              </w:rPr>
              <w:t xml:space="preserve"> Den beregnede korrektion af kommunens slutskat og kirkeskat efter stk. </w:t>
            </w:r>
            <w:r>
              <w:rPr>
                <w:iCs/>
                <w:sz w:val="24"/>
              </w:rPr>
              <w:t>3</w:t>
            </w:r>
            <w:r w:rsidRPr="006766D6">
              <w:rPr>
                <w:iCs/>
                <w:sz w:val="24"/>
              </w:rPr>
              <w:t xml:space="preserve"> fastsættes af økonomi- og indenrigsministeren på grundlag af de oplysninger vedrørende indkomståret 2015, der foreligger pr. 1. maj 2017.</w:t>
            </w:r>
          </w:p>
          <w:p w:rsidR="003331F3" w:rsidRPr="00252BEB" w:rsidRDefault="003331F3" w:rsidP="00CF5BF0">
            <w:pPr>
              <w:tabs>
                <w:tab w:val="left" w:pos="360"/>
              </w:tabs>
              <w:rPr>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tabs>
                <w:tab w:val="left" w:pos="360"/>
              </w:tabs>
              <w:rPr>
                <w:b/>
                <w:sz w:val="24"/>
              </w:rPr>
            </w:pPr>
          </w:p>
          <w:p w:rsidR="00E40F1F" w:rsidRDefault="00E40F1F" w:rsidP="00CF5BF0">
            <w:pPr>
              <w:spacing w:line="288" w:lineRule="auto"/>
              <w:rPr>
                <w:sz w:val="24"/>
              </w:rPr>
            </w:pPr>
          </w:p>
          <w:p w:rsidR="00E40F1F" w:rsidRDefault="00E40F1F" w:rsidP="00CF5BF0">
            <w:pPr>
              <w:rPr>
                <w:sz w:val="24"/>
              </w:rPr>
            </w:pPr>
          </w:p>
          <w:p w:rsidR="00E40F1F" w:rsidRPr="00E83F06" w:rsidRDefault="00E40F1F" w:rsidP="00CF5BF0">
            <w:pPr>
              <w:rPr>
                <w:sz w:val="24"/>
              </w:rPr>
            </w:pPr>
          </w:p>
          <w:p w:rsidR="00E40F1F" w:rsidRDefault="00E40F1F" w:rsidP="00CF5BF0">
            <w:pPr>
              <w:rPr>
                <w:b/>
                <w:bCs/>
                <w:sz w:val="24"/>
              </w:rPr>
            </w:pPr>
          </w:p>
          <w:p w:rsidR="00E40F1F" w:rsidRDefault="00E40F1F" w:rsidP="00CF5BF0">
            <w:pPr>
              <w:rPr>
                <w:b/>
                <w:bCs/>
                <w:sz w:val="24"/>
              </w:rPr>
            </w:pPr>
          </w:p>
          <w:p w:rsidR="00E40F1F" w:rsidRDefault="00E40F1F" w:rsidP="00CF5BF0">
            <w:pPr>
              <w:rPr>
                <w:b/>
                <w:bCs/>
                <w:sz w:val="24"/>
              </w:rPr>
            </w:pPr>
          </w:p>
          <w:p w:rsidR="00E40F1F" w:rsidRDefault="00E40F1F" w:rsidP="00CF5BF0">
            <w:pPr>
              <w:rPr>
                <w:b/>
                <w:bCs/>
                <w:sz w:val="24"/>
              </w:rPr>
            </w:pPr>
          </w:p>
          <w:p w:rsidR="00E40F1F" w:rsidRDefault="00E40F1F" w:rsidP="00CF5BF0">
            <w:pPr>
              <w:rPr>
                <w:b/>
                <w:bCs/>
                <w:sz w:val="24"/>
              </w:rPr>
            </w:pPr>
          </w:p>
          <w:p w:rsidR="00E40F1F" w:rsidRDefault="00E40F1F" w:rsidP="00CF5BF0">
            <w:pPr>
              <w:rPr>
                <w:b/>
                <w:bCs/>
                <w:sz w:val="24"/>
              </w:rPr>
            </w:pPr>
          </w:p>
          <w:p w:rsidR="00E40F1F" w:rsidRDefault="00E40F1F" w:rsidP="00CF5BF0">
            <w:pPr>
              <w:rPr>
                <w:b/>
                <w:bCs/>
                <w:sz w:val="24"/>
              </w:rPr>
            </w:pPr>
          </w:p>
          <w:p w:rsidR="00E40F1F" w:rsidRDefault="00E40F1F" w:rsidP="00CF5BF0">
            <w:pPr>
              <w:rPr>
                <w:b/>
                <w:bCs/>
                <w:sz w:val="24"/>
              </w:rPr>
            </w:pPr>
          </w:p>
          <w:p w:rsidR="00E40F1F" w:rsidRDefault="00E40F1F" w:rsidP="00CF5BF0">
            <w:pPr>
              <w:rPr>
                <w:b/>
                <w:bCs/>
                <w:sz w:val="24"/>
              </w:rPr>
            </w:pPr>
          </w:p>
          <w:p w:rsidR="00E40F1F" w:rsidRDefault="00E40F1F" w:rsidP="00CF5BF0">
            <w:pPr>
              <w:rPr>
                <w:b/>
                <w:bCs/>
                <w:sz w:val="24"/>
              </w:rPr>
            </w:pPr>
          </w:p>
          <w:p w:rsidR="00E40F1F" w:rsidRDefault="00E40F1F" w:rsidP="00CF5BF0">
            <w:pPr>
              <w:rPr>
                <w:b/>
                <w:bCs/>
                <w:sz w:val="24"/>
              </w:rPr>
            </w:pPr>
          </w:p>
          <w:p w:rsidR="00E40F1F" w:rsidRDefault="00E40F1F" w:rsidP="00CF5BF0">
            <w:pPr>
              <w:rPr>
                <w:b/>
                <w:bCs/>
                <w:sz w:val="24"/>
              </w:rPr>
            </w:pPr>
          </w:p>
          <w:p w:rsidR="00E40F1F" w:rsidRDefault="00E40F1F" w:rsidP="00CF5BF0">
            <w:pPr>
              <w:rPr>
                <w:b/>
                <w:bCs/>
                <w:sz w:val="24"/>
              </w:rPr>
            </w:pPr>
          </w:p>
          <w:p w:rsidR="00E40F1F" w:rsidRDefault="00E40F1F" w:rsidP="00CF5BF0">
            <w:pPr>
              <w:rPr>
                <w:b/>
                <w:bCs/>
                <w:sz w:val="24"/>
              </w:rPr>
            </w:pPr>
          </w:p>
          <w:p w:rsidR="00E40F1F" w:rsidRPr="00E83F06" w:rsidRDefault="00E40F1F" w:rsidP="00CF5BF0">
            <w:pPr>
              <w:rPr>
                <w:b/>
                <w:bCs/>
                <w:sz w:val="24"/>
              </w:rPr>
            </w:pPr>
          </w:p>
        </w:tc>
      </w:tr>
    </w:tbl>
    <w:p w:rsidR="00E40F1F" w:rsidRPr="00BC172D" w:rsidRDefault="00E40F1F" w:rsidP="00E40F1F">
      <w:pPr>
        <w:rPr>
          <w:sz w:val="24"/>
        </w:rPr>
      </w:pPr>
    </w:p>
    <w:p w:rsidR="00376FD2" w:rsidRPr="00BC172D" w:rsidRDefault="00376FD2" w:rsidP="00376FD2">
      <w:pPr>
        <w:jc w:val="center"/>
        <w:rPr>
          <w:sz w:val="24"/>
        </w:rPr>
      </w:pPr>
    </w:p>
    <w:p w:rsidR="00376FD2" w:rsidRPr="00BC172D" w:rsidRDefault="00376FD2" w:rsidP="00376FD2">
      <w:pPr>
        <w:ind w:right="1"/>
        <w:rPr>
          <w:sz w:val="24"/>
        </w:rPr>
      </w:pPr>
    </w:p>
    <w:p w:rsidR="00376FD2" w:rsidRPr="00BC172D" w:rsidRDefault="00376FD2" w:rsidP="00376FD2">
      <w:pPr>
        <w:tabs>
          <w:tab w:val="left" w:pos="0"/>
          <w:tab w:val="left" w:pos="900"/>
        </w:tabs>
        <w:ind w:right="1"/>
        <w:jc w:val="right"/>
        <w:rPr>
          <w:sz w:val="24"/>
        </w:rPr>
      </w:pPr>
      <w:r w:rsidRPr="00BC172D">
        <w:rPr>
          <w:sz w:val="24"/>
        </w:rPr>
        <w:tab/>
      </w:r>
    </w:p>
    <w:p w:rsidR="0049233E" w:rsidRDefault="0049233E" w:rsidP="0049233E">
      <w:pPr>
        <w:tabs>
          <w:tab w:val="left" w:pos="0"/>
          <w:tab w:val="left" w:pos="900"/>
        </w:tabs>
        <w:ind w:right="1"/>
        <w:jc w:val="right"/>
        <w:rPr>
          <w:sz w:val="24"/>
        </w:rPr>
      </w:pPr>
    </w:p>
    <w:p w:rsidR="00912739" w:rsidRPr="00912739" w:rsidRDefault="000747ED" w:rsidP="00376FD2">
      <w:pPr>
        <w:rPr>
          <w:sz w:val="24"/>
        </w:rPr>
      </w:pPr>
      <w:r>
        <w:rPr>
          <w:sz w:val="24"/>
        </w:rPr>
        <w:t xml:space="preserve"> </w:t>
      </w:r>
    </w:p>
    <w:sectPr w:rsidR="00912739" w:rsidRPr="00912739" w:rsidSect="007D36B1">
      <w:headerReference w:type="default" r:id="rId9"/>
      <w:endnotePr>
        <w:numFmt w:val="decimal"/>
      </w:endnotePr>
      <w:pgSz w:w="11905" w:h="16837"/>
      <w:pgMar w:top="1418" w:right="1418" w:bottom="1418" w:left="1418" w:header="1418" w:footer="1418" w:gutter="0"/>
      <w:paperSrc w:first="256" w:other="256"/>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1F" w:rsidRPr="008C7957" w:rsidRDefault="003B041F">
      <w:pPr>
        <w:rPr>
          <w:sz w:val="16"/>
        </w:rPr>
      </w:pPr>
      <w:r>
        <w:separator/>
      </w:r>
    </w:p>
  </w:endnote>
  <w:endnote w:type="continuationSeparator" w:id="0">
    <w:p w:rsidR="003B041F" w:rsidRPr="008C7957" w:rsidRDefault="003B041F">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1F" w:rsidRPr="008C7957" w:rsidRDefault="003B041F">
      <w:pPr>
        <w:rPr>
          <w:sz w:val="16"/>
        </w:rPr>
      </w:pPr>
      <w:r>
        <w:separator/>
      </w:r>
    </w:p>
  </w:footnote>
  <w:footnote w:type="continuationSeparator" w:id="0">
    <w:p w:rsidR="003B041F" w:rsidRPr="008C7957" w:rsidRDefault="003B041F">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1F" w:rsidRDefault="003B041F">
    <w:pPr>
      <w:pStyle w:val="Sidehoved"/>
      <w:jc w:val="center"/>
      <w:rPr>
        <w:rStyle w:val="Sidetal"/>
        <w:sz w:val="24"/>
      </w:rPr>
    </w:pPr>
    <w:r>
      <w:rPr>
        <w:sz w:val="24"/>
      </w:rPr>
      <w:t xml:space="preserve">- </w:t>
    </w:r>
    <w:r>
      <w:rPr>
        <w:rStyle w:val="Sidetal"/>
        <w:sz w:val="24"/>
      </w:rPr>
      <w:fldChar w:fldCharType="begin"/>
    </w:r>
    <w:r>
      <w:rPr>
        <w:rStyle w:val="Sidetal"/>
        <w:sz w:val="24"/>
      </w:rPr>
      <w:instrText xml:space="preserve"> PAGE </w:instrText>
    </w:r>
    <w:r>
      <w:rPr>
        <w:rStyle w:val="Sidetal"/>
        <w:sz w:val="24"/>
      </w:rPr>
      <w:fldChar w:fldCharType="separate"/>
    </w:r>
    <w:r w:rsidR="00097DD4">
      <w:rPr>
        <w:rStyle w:val="Sidetal"/>
        <w:noProof/>
        <w:sz w:val="24"/>
      </w:rPr>
      <w:t>11</w:t>
    </w:r>
    <w:r>
      <w:rPr>
        <w:rStyle w:val="Sidetal"/>
        <w:sz w:val="24"/>
      </w:rPr>
      <w:fldChar w:fldCharType="end"/>
    </w:r>
    <w:r>
      <w:rPr>
        <w:rStyle w:val="Sidetal"/>
        <w:sz w:val="24"/>
      </w:rPr>
      <w:t xml:space="preserve"> -</w:t>
    </w:r>
  </w:p>
  <w:p w:rsidR="003B041F" w:rsidRDefault="003B041F">
    <w:pPr>
      <w:pStyle w:val="Sidehoved"/>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D39DE"/>
    <w:multiLevelType w:val="hybridMultilevel"/>
    <w:tmpl w:val="CE6461AC"/>
    <w:lvl w:ilvl="0" w:tplc="718222E4">
      <w:start w:val="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2A63850"/>
    <w:multiLevelType w:val="multilevel"/>
    <w:tmpl w:val="2CA05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8B65AD"/>
    <w:multiLevelType w:val="hybridMultilevel"/>
    <w:tmpl w:val="633685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0625C6E"/>
    <w:multiLevelType w:val="hybridMultilevel"/>
    <w:tmpl w:val="208E58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160609D"/>
    <w:multiLevelType w:val="hybridMultilevel"/>
    <w:tmpl w:val="E7121C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6371C4B"/>
    <w:multiLevelType w:val="hybridMultilevel"/>
    <w:tmpl w:val="8ED2B2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5EF238A"/>
    <w:multiLevelType w:val="hybridMultilevel"/>
    <w:tmpl w:val="75E2C3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F60"/>
    <w:rsid w:val="00032DFC"/>
    <w:rsid w:val="00036F51"/>
    <w:rsid w:val="00037A44"/>
    <w:rsid w:val="00055E47"/>
    <w:rsid w:val="000747ED"/>
    <w:rsid w:val="000854A9"/>
    <w:rsid w:val="00097DD4"/>
    <w:rsid w:val="000D1EC9"/>
    <w:rsid w:val="000D5CA2"/>
    <w:rsid w:val="00105E9E"/>
    <w:rsid w:val="00125080"/>
    <w:rsid w:val="00127BE1"/>
    <w:rsid w:val="0013417B"/>
    <w:rsid w:val="0013636B"/>
    <w:rsid w:val="0015075E"/>
    <w:rsid w:val="00161136"/>
    <w:rsid w:val="00174EB4"/>
    <w:rsid w:val="00186A5F"/>
    <w:rsid w:val="001958A8"/>
    <w:rsid w:val="00197D76"/>
    <w:rsid w:val="001A60EA"/>
    <w:rsid w:val="001B78AD"/>
    <w:rsid w:val="00252BEB"/>
    <w:rsid w:val="00260AC7"/>
    <w:rsid w:val="00264887"/>
    <w:rsid w:val="00267B52"/>
    <w:rsid w:val="00275F94"/>
    <w:rsid w:val="002918CF"/>
    <w:rsid w:val="002A2DDC"/>
    <w:rsid w:val="002A4022"/>
    <w:rsid w:val="003137D8"/>
    <w:rsid w:val="003331F3"/>
    <w:rsid w:val="00333578"/>
    <w:rsid w:val="00350361"/>
    <w:rsid w:val="00376142"/>
    <w:rsid w:val="00376FD2"/>
    <w:rsid w:val="00380A89"/>
    <w:rsid w:val="00380DC3"/>
    <w:rsid w:val="003A2840"/>
    <w:rsid w:val="003B041F"/>
    <w:rsid w:val="003B04B3"/>
    <w:rsid w:val="003E0A38"/>
    <w:rsid w:val="003F16C9"/>
    <w:rsid w:val="0040269B"/>
    <w:rsid w:val="00403CD5"/>
    <w:rsid w:val="00416A88"/>
    <w:rsid w:val="00460FC4"/>
    <w:rsid w:val="004854C3"/>
    <w:rsid w:val="0049233E"/>
    <w:rsid w:val="004C19A8"/>
    <w:rsid w:val="004D093C"/>
    <w:rsid w:val="004D31B0"/>
    <w:rsid w:val="004E7F0C"/>
    <w:rsid w:val="00510C9F"/>
    <w:rsid w:val="00511125"/>
    <w:rsid w:val="00526869"/>
    <w:rsid w:val="00546693"/>
    <w:rsid w:val="005B4D24"/>
    <w:rsid w:val="00600AAC"/>
    <w:rsid w:val="00626F60"/>
    <w:rsid w:val="00642D99"/>
    <w:rsid w:val="00645582"/>
    <w:rsid w:val="00662CEF"/>
    <w:rsid w:val="00677212"/>
    <w:rsid w:val="006E18F2"/>
    <w:rsid w:val="006E752A"/>
    <w:rsid w:val="00733C9F"/>
    <w:rsid w:val="00737E30"/>
    <w:rsid w:val="00743EC4"/>
    <w:rsid w:val="00765032"/>
    <w:rsid w:val="007658B6"/>
    <w:rsid w:val="007716DB"/>
    <w:rsid w:val="00772A9E"/>
    <w:rsid w:val="00774A52"/>
    <w:rsid w:val="0078316E"/>
    <w:rsid w:val="007D36B1"/>
    <w:rsid w:val="007E34F2"/>
    <w:rsid w:val="007F6647"/>
    <w:rsid w:val="00802528"/>
    <w:rsid w:val="0082718B"/>
    <w:rsid w:val="008356A6"/>
    <w:rsid w:val="00842774"/>
    <w:rsid w:val="008677D7"/>
    <w:rsid w:val="0087349A"/>
    <w:rsid w:val="008906F5"/>
    <w:rsid w:val="008B0622"/>
    <w:rsid w:val="008C4274"/>
    <w:rsid w:val="008F7B9E"/>
    <w:rsid w:val="00912739"/>
    <w:rsid w:val="00942997"/>
    <w:rsid w:val="00944CD7"/>
    <w:rsid w:val="00975264"/>
    <w:rsid w:val="009A51F2"/>
    <w:rsid w:val="009C5EA6"/>
    <w:rsid w:val="009D3D2A"/>
    <w:rsid w:val="009D4AF3"/>
    <w:rsid w:val="009D5216"/>
    <w:rsid w:val="00A00226"/>
    <w:rsid w:val="00A505B3"/>
    <w:rsid w:val="00A76AB8"/>
    <w:rsid w:val="00A85054"/>
    <w:rsid w:val="00A9167F"/>
    <w:rsid w:val="00A962EC"/>
    <w:rsid w:val="00AA0D69"/>
    <w:rsid w:val="00AB54FC"/>
    <w:rsid w:val="00B133FE"/>
    <w:rsid w:val="00B205E3"/>
    <w:rsid w:val="00B21D5C"/>
    <w:rsid w:val="00B415C3"/>
    <w:rsid w:val="00B635BD"/>
    <w:rsid w:val="00B80C52"/>
    <w:rsid w:val="00BA4401"/>
    <w:rsid w:val="00BB690A"/>
    <w:rsid w:val="00BC172D"/>
    <w:rsid w:val="00BC777C"/>
    <w:rsid w:val="00BE05A1"/>
    <w:rsid w:val="00BE23F6"/>
    <w:rsid w:val="00BF163E"/>
    <w:rsid w:val="00C12DA7"/>
    <w:rsid w:val="00C43BE5"/>
    <w:rsid w:val="00C725E0"/>
    <w:rsid w:val="00C96946"/>
    <w:rsid w:val="00CD6F9A"/>
    <w:rsid w:val="00CF5BF0"/>
    <w:rsid w:val="00D152BF"/>
    <w:rsid w:val="00D30C38"/>
    <w:rsid w:val="00D37749"/>
    <w:rsid w:val="00D37896"/>
    <w:rsid w:val="00D42C02"/>
    <w:rsid w:val="00D57935"/>
    <w:rsid w:val="00D846E4"/>
    <w:rsid w:val="00D915B5"/>
    <w:rsid w:val="00DB4C29"/>
    <w:rsid w:val="00DD3D64"/>
    <w:rsid w:val="00E026D1"/>
    <w:rsid w:val="00E218D7"/>
    <w:rsid w:val="00E3479C"/>
    <w:rsid w:val="00E372F3"/>
    <w:rsid w:val="00E40F1F"/>
    <w:rsid w:val="00E457B8"/>
    <w:rsid w:val="00E843DE"/>
    <w:rsid w:val="00EB14B5"/>
    <w:rsid w:val="00ED0268"/>
    <w:rsid w:val="00F01A57"/>
    <w:rsid w:val="00F12549"/>
    <w:rsid w:val="00F25125"/>
    <w:rsid w:val="00F71571"/>
    <w:rsid w:val="00F83A9C"/>
    <w:rsid w:val="00F92F44"/>
    <w:rsid w:val="00FE0E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D2A"/>
    <w:pPr>
      <w:widowControl w:val="0"/>
      <w:autoSpaceDE w:val="0"/>
      <w:autoSpaceDN w:val="0"/>
      <w:adjustRightInd w:val="0"/>
    </w:pPr>
    <w:rPr>
      <w:szCs w:val="24"/>
    </w:rPr>
  </w:style>
  <w:style w:type="paragraph" w:styleId="Overskrift2">
    <w:name w:val="heading 2"/>
    <w:basedOn w:val="Normal"/>
    <w:next w:val="Normal"/>
    <w:qFormat/>
    <w:rsid w:val="00CD6F9A"/>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eastAsia="Arial Unicode MS" w:hAnsi="Arial" w:cs="Arial"/>
      <w:sz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7D36B1"/>
  </w:style>
  <w:style w:type="paragraph" w:styleId="Sidehoved">
    <w:name w:val="header"/>
    <w:basedOn w:val="Normal"/>
    <w:rsid w:val="007D36B1"/>
    <w:pPr>
      <w:tabs>
        <w:tab w:val="center" w:pos="4819"/>
        <w:tab w:val="right" w:pos="9638"/>
      </w:tabs>
    </w:pPr>
  </w:style>
  <w:style w:type="paragraph" w:styleId="Sidefod">
    <w:name w:val="footer"/>
    <w:basedOn w:val="Normal"/>
    <w:rsid w:val="007D36B1"/>
    <w:pPr>
      <w:tabs>
        <w:tab w:val="center" w:pos="4819"/>
        <w:tab w:val="right" w:pos="9638"/>
      </w:tabs>
    </w:pPr>
  </w:style>
  <w:style w:type="character" w:styleId="Sidetal">
    <w:name w:val="page number"/>
    <w:basedOn w:val="Standardskrifttypeiafsnit"/>
    <w:rsid w:val="007D36B1"/>
  </w:style>
  <w:style w:type="paragraph" w:styleId="Fodnotetekst">
    <w:name w:val="footnote text"/>
    <w:basedOn w:val="Normal"/>
    <w:link w:val="FodnotetekstTegn"/>
    <w:rsid w:val="00376FD2"/>
    <w:rPr>
      <w:szCs w:val="20"/>
    </w:rPr>
  </w:style>
  <w:style w:type="character" w:customStyle="1" w:styleId="FodnotetekstTegn">
    <w:name w:val="Fodnotetekst Tegn"/>
    <w:basedOn w:val="Standardskrifttypeiafsnit"/>
    <w:link w:val="Fodnotetekst"/>
    <w:rsid w:val="00376FD2"/>
  </w:style>
  <w:style w:type="character" w:styleId="Hyperlink">
    <w:name w:val="Hyperlink"/>
    <w:rsid w:val="000747ED"/>
    <w:rPr>
      <w:color w:val="0000FF"/>
      <w:u w:val="single"/>
    </w:rPr>
  </w:style>
  <w:style w:type="paragraph" w:styleId="Markeringsbobletekst">
    <w:name w:val="Balloon Text"/>
    <w:basedOn w:val="Normal"/>
    <w:link w:val="MarkeringsbobletekstTegn"/>
    <w:rsid w:val="00A962EC"/>
    <w:rPr>
      <w:rFonts w:ascii="Tahoma" w:hAnsi="Tahoma" w:cs="Tahoma"/>
      <w:sz w:val="16"/>
      <w:szCs w:val="16"/>
    </w:rPr>
  </w:style>
  <w:style w:type="character" w:customStyle="1" w:styleId="MarkeringsbobletekstTegn">
    <w:name w:val="Markeringsbobletekst Tegn"/>
    <w:link w:val="Markeringsbobletekst"/>
    <w:rsid w:val="00A962EC"/>
    <w:rPr>
      <w:rFonts w:ascii="Tahoma" w:hAnsi="Tahoma" w:cs="Tahoma"/>
      <w:sz w:val="16"/>
      <w:szCs w:val="16"/>
    </w:rPr>
  </w:style>
  <w:style w:type="character" w:customStyle="1" w:styleId="max1">
    <w:name w:val="max1"/>
    <w:rsid w:val="009D4AF3"/>
    <w:rPr>
      <w:b/>
      <w:bCs/>
    </w:rPr>
  </w:style>
  <w:style w:type="paragraph" w:customStyle="1" w:styleId="paragraf">
    <w:name w:val="paragraf"/>
    <w:basedOn w:val="Normal"/>
    <w:rsid w:val="00E40F1F"/>
    <w:pPr>
      <w:widowControl/>
      <w:autoSpaceDE/>
      <w:autoSpaceDN/>
      <w:adjustRightInd/>
      <w:spacing w:before="200"/>
      <w:ind w:firstLine="240"/>
    </w:pPr>
    <w:rPr>
      <w:rFonts w:ascii="Tahoma" w:hAnsi="Tahoma" w:cs="Tahom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3068">
      <w:bodyDiv w:val="1"/>
      <w:marLeft w:val="0"/>
      <w:marRight w:val="0"/>
      <w:marTop w:val="0"/>
      <w:marBottom w:val="0"/>
      <w:divBdr>
        <w:top w:val="none" w:sz="0" w:space="0" w:color="auto"/>
        <w:left w:val="none" w:sz="0" w:space="0" w:color="auto"/>
        <w:bottom w:val="none" w:sz="0" w:space="0" w:color="auto"/>
        <w:right w:val="none" w:sz="0" w:space="0" w:color="auto"/>
      </w:divBdr>
    </w:div>
    <w:div w:id="248123378">
      <w:bodyDiv w:val="1"/>
      <w:marLeft w:val="0"/>
      <w:marRight w:val="0"/>
      <w:marTop w:val="0"/>
      <w:marBottom w:val="0"/>
      <w:divBdr>
        <w:top w:val="none" w:sz="0" w:space="0" w:color="auto"/>
        <w:left w:val="none" w:sz="0" w:space="0" w:color="auto"/>
        <w:bottom w:val="none" w:sz="0" w:space="0" w:color="auto"/>
        <w:right w:val="none" w:sz="0" w:space="0" w:color="auto"/>
      </w:divBdr>
    </w:div>
    <w:div w:id="1130979379">
      <w:bodyDiv w:val="1"/>
      <w:marLeft w:val="0"/>
      <w:marRight w:val="0"/>
      <w:marTop w:val="0"/>
      <w:marBottom w:val="0"/>
      <w:divBdr>
        <w:top w:val="none" w:sz="0" w:space="0" w:color="auto"/>
        <w:left w:val="none" w:sz="0" w:space="0" w:color="auto"/>
        <w:bottom w:val="none" w:sz="0" w:space="0" w:color="auto"/>
        <w:right w:val="none" w:sz="0" w:space="0" w:color="auto"/>
      </w:divBdr>
    </w:div>
    <w:div w:id="1207330387">
      <w:bodyDiv w:val="1"/>
      <w:marLeft w:val="0"/>
      <w:marRight w:val="0"/>
      <w:marTop w:val="0"/>
      <w:marBottom w:val="0"/>
      <w:divBdr>
        <w:top w:val="none" w:sz="0" w:space="0" w:color="auto"/>
        <w:left w:val="none" w:sz="0" w:space="0" w:color="auto"/>
        <w:bottom w:val="none" w:sz="0" w:space="0" w:color="auto"/>
        <w:right w:val="none" w:sz="0" w:space="0" w:color="auto"/>
      </w:divBdr>
    </w:div>
    <w:div w:id="1268463826">
      <w:bodyDiv w:val="1"/>
      <w:marLeft w:val="0"/>
      <w:marRight w:val="0"/>
      <w:marTop w:val="0"/>
      <w:marBottom w:val="0"/>
      <w:divBdr>
        <w:top w:val="none" w:sz="0" w:space="0" w:color="auto"/>
        <w:left w:val="none" w:sz="0" w:space="0" w:color="auto"/>
        <w:bottom w:val="none" w:sz="0" w:space="0" w:color="auto"/>
        <w:right w:val="none" w:sz="0" w:space="0" w:color="auto"/>
      </w:divBdr>
    </w:div>
    <w:div w:id="15753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Skrivebord\tmp\%5bCaptia%5d%20Love%20Lo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2EDB-4F48-420B-8901-EFF0E1BD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[Captia] Love Lov</Template>
  <TotalTime>963</TotalTime>
  <Pages>11</Pages>
  <Words>2399</Words>
  <Characters>14964</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SkatteministerietJ</vt:lpstr>
    </vt:vector>
  </TitlesOfParts>
  <Company>Skatteministeriet</Company>
  <LinksUpToDate>false</LinksUpToDate>
  <CharactersWithSpaces>17329</CharactersWithSpaces>
  <SharedDoc>false</SharedDoc>
  <HLinks>
    <vt:vector size="6" baseType="variant">
      <vt:variant>
        <vt:i4>2883591</vt:i4>
      </vt:variant>
      <vt:variant>
        <vt:i4>4</vt:i4>
      </vt:variant>
      <vt:variant>
        <vt:i4>0</vt:i4>
      </vt:variant>
      <vt:variant>
        <vt:i4>5</vt:i4>
      </vt:variant>
      <vt:variant>
        <vt:lpwstr>http://www.ft.dk/RIpdf/samling/20111/lovforslag/L24/20111_L24_som_fremsat.pdf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SkatteministerietJ</dc:title>
  <dc:subject/>
  <dc:creator/>
  <cp:keywords/>
  <cp:lastModifiedBy>Anders Nielsen</cp:lastModifiedBy>
  <cp:revision>2</cp:revision>
  <cp:lastPrinted>2014-08-25T10:54:00Z</cp:lastPrinted>
  <dcterms:created xsi:type="dcterms:W3CDTF">2014-08-28T14:45:00Z</dcterms:created>
  <dcterms:modified xsi:type="dcterms:W3CDTF">2014-08-28T14:45:00Z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C:\Users\w17782\AppData\Local\Temp\Scanjour\Captia\SJ2014082814452359 [DOK58606548].DOCX</vt:lpwstr>
  </property>
  <property fmtid="{D5CDD505-2E9C-101B-9397-08002B2CF9AE}" pid="3" name="title">
    <vt:lpwstr>Lovforslag, ekstern høring (DOK58606548)</vt:lpwstr>
  </property>
</Properties>
</file>